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line="275.9999942779541"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2">
      <w:pPr>
        <w:pBdr>
          <w:top w:color="auto" w:space="0" w:sz="0" w:val="none"/>
          <w:bottom w:color="auto" w:space="0" w:sz="0" w:val="none"/>
          <w:between w:color="auto" w:space="0" w:sz="0" w:val="none"/>
        </w:pBdr>
        <w:spacing w:after="240" w:line="276" w:lineRule="auto"/>
        <w:jc w:val="both"/>
        <w:rPr>
          <w:rFonts w:ascii="Calibri" w:cs="Calibri" w:eastAsia="Calibri" w:hAnsi="Calibri"/>
          <w:color w:val="ff0000"/>
          <w:sz w:val="24"/>
          <w:szCs w:val="24"/>
        </w:rPr>
      </w:pPr>
      <w:r w:rsidDel="00000000" w:rsidR="00000000" w:rsidRPr="00000000">
        <w:rPr>
          <w:rFonts w:ascii="Calibri" w:cs="Calibri" w:eastAsia="Calibri" w:hAnsi="Calibri"/>
          <w:b w:val="1"/>
          <w:sz w:val="24"/>
          <w:szCs w:val="24"/>
          <w:rtl w:val="0"/>
        </w:rPr>
        <w:t xml:space="preserve">PROCESSO ADMINISTRATIVO ELETRÔNICO DE LICITAÇÕES E CONTRATAÇÕES N°</w:t>
      </w:r>
      <w:r w:rsidDel="00000000" w:rsidR="00000000" w:rsidRPr="00000000">
        <w:rPr>
          <w:rFonts w:ascii="Calibri" w:cs="Calibri" w:eastAsia="Calibri" w:hAnsi="Calibri"/>
          <w:color w:val="ff0000"/>
          <w:sz w:val="24"/>
          <w:szCs w:val="24"/>
          <w:rtl w:val="0"/>
        </w:rPr>
        <w:t xml:space="preserve"> ___/202X</w:t>
      </w:r>
    </w:p>
    <w:p w:rsidR="00000000" w:rsidDel="00000000" w:rsidP="00000000" w:rsidRDefault="00000000" w:rsidRPr="00000000" w14:paraId="00000003">
      <w:pPr>
        <w:pBdr>
          <w:top w:color="auto" w:space="0" w:sz="0" w:val="none"/>
          <w:bottom w:color="auto" w:space="0" w:sz="0" w:val="none"/>
          <w:between w:color="auto" w:space="0" w:sz="0" w:val="none"/>
        </w:pBdr>
        <w:spacing w:after="240" w:line="276" w:lineRule="auto"/>
        <w:jc w:val="both"/>
        <w:rPr>
          <w:rFonts w:ascii="Calibri" w:cs="Calibri" w:eastAsia="Calibri" w:hAnsi="Calibri"/>
          <w:b w:val="1"/>
          <w:color w:val="ff0000"/>
          <w:sz w:val="24"/>
          <w:szCs w:val="24"/>
        </w:rPr>
      </w:pPr>
      <w:r w:rsidDel="00000000" w:rsidR="00000000" w:rsidRPr="00000000">
        <w:rPr>
          <w:rFonts w:ascii="Calibri" w:cs="Calibri" w:eastAsia="Calibri" w:hAnsi="Calibri"/>
          <w:b w:val="1"/>
          <w:color w:val="ff0000"/>
          <w:sz w:val="24"/>
          <w:szCs w:val="24"/>
          <w:rtl w:val="0"/>
        </w:rPr>
        <w:t xml:space="preserve">PREGÃO ELETRÔNICO Nº .../202X [ou] DISPENSA Nº ____/202X [OU] INEXIGIBILIDADE Nº ____/202X</w:t>
      </w:r>
    </w:p>
    <w:p w:rsidR="00000000" w:rsidDel="00000000" w:rsidP="00000000" w:rsidRDefault="00000000" w:rsidRPr="00000000" w14:paraId="00000004">
      <w:pPr>
        <w:spacing w:after="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Município de São Miguel do Iguaçu-PR, inscrito no CNPJ sob o nº 76.206.499/0001-50, com sede na Rua Vânio Ghellere, nº 64, Centro, na cidade de São Miguel do Iguaçu-PR, neste ato representado pelo(a) Secretario(a) Municipal de</w:t>
      </w:r>
      <w:r w:rsidDel="00000000" w:rsidR="00000000" w:rsidRPr="00000000">
        <w:rPr>
          <w:rFonts w:ascii="Calibri" w:cs="Calibri" w:eastAsia="Calibri" w:hAnsi="Calibri"/>
          <w:color w:val="ff0000"/>
          <w:sz w:val="24"/>
          <w:szCs w:val="24"/>
          <w:rtl w:val="0"/>
        </w:rPr>
        <w:t xml:space="preserve"> [Definir Secretaria Conforme Normativo Interno ou Delegação Específica], o(a) senhor(a) _________, inscrito(a) no CPF nº _______</w:t>
      </w:r>
      <w:r w:rsidDel="00000000" w:rsidR="00000000" w:rsidRPr="00000000">
        <w:rPr>
          <w:rFonts w:ascii="Calibri" w:cs="Calibri" w:eastAsia="Calibri" w:hAnsi="Calibri"/>
          <w:sz w:val="24"/>
          <w:szCs w:val="24"/>
          <w:rtl w:val="0"/>
        </w:rPr>
        <w:t xml:space="preserve">, por delegação do Prefeito Municipal, conforme Decreto 046/2025, considerando o </w:t>
      </w:r>
      <w:r w:rsidDel="00000000" w:rsidR="00000000" w:rsidRPr="00000000">
        <w:rPr>
          <w:rFonts w:ascii="Calibri" w:cs="Calibri" w:eastAsia="Calibri" w:hAnsi="Calibri"/>
          <w:color w:val="ff0000"/>
          <w:sz w:val="24"/>
          <w:szCs w:val="24"/>
          <w:rtl w:val="0"/>
        </w:rPr>
        <w:t xml:space="preserve">julgamento da licitação na modalidade de Pregão Eletrônico [ou Concorrência Eletrônica, ou resultado da Contratação Direta],</w:t>
      </w:r>
      <w:r w:rsidDel="00000000" w:rsidR="00000000" w:rsidRPr="00000000">
        <w:rPr>
          <w:rFonts w:ascii="Calibri" w:cs="Calibri" w:eastAsia="Calibri" w:hAnsi="Calibri"/>
          <w:sz w:val="24"/>
          <w:szCs w:val="24"/>
          <w:rtl w:val="0"/>
        </w:rPr>
        <w:t xml:space="preserve"> na forma eletrônica, para REGISTRO DE PREÇOS </w:t>
      </w:r>
      <w:r w:rsidDel="00000000" w:rsidR="00000000" w:rsidRPr="00000000">
        <w:rPr>
          <w:rFonts w:ascii="Calibri" w:cs="Calibri" w:eastAsia="Calibri" w:hAnsi="Calibri"/>
          <w:sz w:val="24"/>
          <w:szCs w:val="24"/>
          <w:rtl w:val="0"/>
        </w:rPr>
        <w:t xml:space="preserve">em epígrafe</w:t>
      </w:r>
      <w:r w:rsidDel="00000000" w:rsidR="00000000" w:rsidRPr="00000000">
        <w:rPr>
          <w:rFonts w:ascii="Calibri" w:cs="Calibri" w:eastAsia="Calibri" w:hAnsi="Calibri"/>
          <w:sz w:val="24"/>
          <w:szCs w:val="24"/>
          <w:rtl w:val="0"/>
        </w:rPr>
        <w:t xml:space="preserve">, RESOLVE registrar os preços da empresa indicada e qualificada nesta ATA, de acordo com a classificação por ela alcançada e na(s) quantidade(s) cotada(s), atendendo as condições previstas no edital [ou aviso de contratação], sujeitando-se as partes às normas da Lei nº 14.133, de 2021, Decreto Municipal nº 115/2023, de 16 de fevereiro de 2023, e em conformidade com as disposições a seguir:</w:t>
      </w:r>
    </w:p>
    <w:tbl>
      <w:tblPr>
        <w:tblStyle w:val="Table1"/>
        <w:tblW w:w="9360.0" w:type="dxa"/>
        <w:jc w:val="left"/>
        <w:tblBorders>
          <w:top w:color="f3f3f3" w:space="0" w:sz="8" w:val="single"/>
          <w:left w:color="f3f3f3" w:space="0" w:sz="8" w:val="single"/>
          <w:bottom w:color="f3f3f3" w:space="0" w:sz="8" w:val="single"/>
          <w:right w:color="f3f3f3" w:space="0" w:sz="8" w:val="single"/>
          <w:insideH w:color="f3f3f3" w:space="0" w:sz="8" w:val="single"/>
          <w:insideV w:color="f3f3f3" w:space="0" w:sz="8" w:val="single"/>
        </w:tblBorders>
        <w:tblLayout w:type="fixed"/>
        <w:tblLook w:val="0600"/>
      </w:tblPr>
      <w:tblGrid>
        <w:gridCol w:w="9360"/>
        <w:tblGridChange w:id="0">
          <w:tblGrid>
            <w:gridCol w:w="9360"/>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05">
            <w:pPr>
              <w:spacing w:after="0"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CLÁUSULA PRIMEIRA – DO OBJETO</w:t>
            </w:r>
          </w:p>
        </w:tc>
      </w:tr>
    </w:tbl>
    <w:p w:rsidR="00000000" w:rsidDel="00000000" w:rsidP="00000000" w:rsidRDefault="00000000" w:rsidRPr="00000000" w14:paraId="00000006">
      <w:pPr>
        <w:pBdr>
          <w:top w:color="auto" w:space="0" w:sz="0" w:val="none"/>
          <w:bottom w:color="auto" w:space="0" w:sz="0" w:val="none"/>
          <w:between w:color="auto" w:space="0" w:sz="0" w:val="none"/>
        </w:pBdr>
        <w:spacing w:after="24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 A presente Ata tem por objeto o registro de preços para futura e eventual aquisição de </w:t>
      </w:r>
      <w:r w:rsidDel="00000000" w:rsidR="00000000" w:rsidRPr="00000000">
        <w:rPr>
          <w:rFonts w:ascii="Calibri" w:cs="Calibri" w:eastAsia="Calibri" w:hAnsi="Calibri"/>
          <w:color w:val="ff0000"/>
          <w:sz w:val="24"/>
          <w:szCs w:val="24"/>
          <w:rtl w:val="0"/>
        </w:rPr>
        <w:t xml:space="preserve">[ou contratação da prestação de serviços de] «Objeto» </w:t>
      </w:r>
      <w:r w:rsidDel="00000000" w:rsidR="00000000" w:rsidRPr="00000000">
        <w:rPr>
          <w:rFonts w:ascii="Calibri" w:cs="Calibri" w:eastAsia="Calibri" w:hAnsi="Calibri"/>
          <w:sz w:val="24"/>
          <w:szCs w:val="24"/>
          <w:rtl w:val="0"/>
        </w:rPr>
        <w:t xml:space="preserve">, com descrição detalhada na Cláusula 1ª do Termo de Referência, que é parte integrante desta Ata, assim como a proposta vencedora, independentemente de transcrição.</w:t>
      </w:r>
    </w:p>
    <w:p w:rsidR="00000000" w:rsidDel="00000000" w:rsidP="00000000" w:rsidRDefault="00000000" w:rsidRPr="00000000" w14:paraId="00000007">
      <w:pPr>
        <w:pBdr>
          <w:top w:color="auto" w:space="0" w:sz="0" w:val="none"/>
          <w:bottom w:color="auto" w:space="0" w:sz="0" w:val="none"/>
          <w:between w:color="auto" w:space="0" w:sz="0" w:val="none"/>
        </w:pBdr>
        <w:spacing w:after="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 Esta ata de registro de preços vincula as partes ao fornecimento nas condições previstas no Termo de Referência, a proposta comercial apresentada, bem como seus anexos, independentemente de transcrição.</w:t>
      </w:r>
    </w:p>
    <w:p w:rsidR="00000000" w:rsidDel="00000000" w:rsidP="00000000" w:rsidRDefault="00000000" w:rsidRPr="00000000" w14:paraId="00000008">
      <w:pPr>
        <w:pBdr>
          <w:top w:color="auto" w:space="0" w:sz="0" w:val="none"/>
          <w:bottom w:color="auto" w:space="0" w:sz="0" w:val="none"/>
          <w:between w:color="auto" w:space="0" w:sz="0" w:val="none"/>
        </w:pBdr>
        <w:spacing w:after="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1.3. A presente Ata de Registro, com indicação do preço registrado e dos licitantes e fornecedores registrados, será divulgada no Portal Nacional de Contratações Públicas (PNCP). </w:t>
      </w:r>
    </w:p>
    <w:p w:rsidR="00000000" w:rsidDel="00000000" w:rsidP="00000000" w:rsidRDefault="00000000" w:rsidRPr="00000000" w14:paraId="00000009">
      <w:pPr>
        <w:spacing w:after="240" w:line="276" w:lineRule="auto"/>
        <w:jc w:val="both"/>
        <w:rPr>
          <w:rFonts w:ascii="Calibri" w:cs="Calibri" w:eastAsia="Calibri" w:hAnsi="Calibri"/>
          <w:sz w:val="24"/>
          <w:szCs w:val="24"/>
        </w:rPr>
      </w:pPr>
      <w:r w:rsidDel="00000000" w:rsidR="00000000" w:rsidRPr="00000000">
        <w:rPr>
          <w:rtl w:val="0"/>
        </w:rPr>
      </w:r>
    </w:p>
    <w:tbl>
      <w:tblPr>
        <w:tblStyle w:val="Table2"/>
        <w:tblW w:w="9360.0" w:type="dxa"/>
        <w:jc w:val="left"/>
        <w:tblBorders>
          <w:top w:color="f3f3f3" w:space="0" w:sz="8" w:val="single"/>
          <w:left w:color="f3f3f3" w:space="0" w:sz="8" w:val="single"/>
          <w:bottom w:color="f3f3f3" w:space="0" w:sz="8" w:val="single"/>
          <w:right w:color="f3f3f3" w:space="0" w:sz="8" w:val="single"/>
          <w:insideH w:color="f3f3f3" w:space="0" w:sz="8" w:val="single"/>
          <w:insideV w:color="f3f3f3" w:space="0" w:sz="8" w:val="single"/>
        </w:tblBorders>
        <w:tblLayout w:type="fixed"/>
        <w:tblLook w:val="0600"/>
      </w:tblPr>
      <w:tblGrid>
        <w:gridCol w:w="9360"/>
        <w:tblGridChange w:id="0">
          <w:tblGrid>
            <w:gridCol w:w="9360"/>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0A">
            <w:pPr>
              <w:spacing w:after="0"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CLÁUSULA SEGUNDA – PREÇOS, ESPECIFICAÇÕES E QUANTITATIVOS</w:t>
            </w:r>
          </w:p>
        </w:tc>
      </w:tr>
    </w:tbl>
    <w:p w:rsidR="00000000" w:rsidDel="00000000" w:rsidP="00000000" w:rsidRDefault="00000000" w:rsidRPr="00000000" w14:paraId="0000000B">
      <w:pPr>
        <w:spacing w:after="240"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C">
      <w:pPr>
        <w:spacing w:after="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 O COMPROMISSO registrado na presente ata de registro de preços vincula as partes ao fornecimento/entrega dos bens ou prestação de serviços, conforme tabela abaixo:</w:t>
      </w:r>
    </w:p>
    <w:tbl>
      <w:tblPr>
        <w:tblStyle w:val="Table3"/>
        <w:tblW w:w="9450.0" w:type="dxa"/>
        <w:jc w:val="left"/>
        <w:tblLayout w:type="fixed"/>
        <w:tblLook w:val="0600"/>
      </w:tblPr>
      <w:tblGrid>
        <w:gridCol w:w="1050"/>
        <w:gridCol w:w="1050"/>
        <w:gridCol w:w="1050"/>
        <w:gridCol w:w="1050"/>
        <w:gridCol w:w="1050"/>
        <w:gridCol w:w="1050"/>
        <w:gridCol w:w="1050"/>
        <w:gridCol w:w="1050"/>
        <w:gridCol w:w="1050"/>
        <w:tblGridChange w:id="0">
          <w:tblGrid>
            <w:gridCol w:w="1050"/>
            <w:gridCol w:w="1050"/>
            <w:gridCol w:w="1050"/>
            <w:gridCol w:w="1050"/>
            <w:gridCol w:w="1050"/>
            <w:gridCol w:w="1050"/>
            <w:gridCol w:w="1050"/>
            <w:gridCol w:w="1050"/>
            <w:gridCol w:w="1050"/>
          </w:tblGrid>
        </w:tblGridChange>
      </w:tblGrid>
      <w:tr>
        <w:trPr>
          <w:cantSplit w:val="0"/>
          <w:trHeight w:val="2010" w:hRule="atLeast"/>
          <w:tblHeader w:val="0"/>
        </w:trPr>
        <w:tc>
          <w:tcPr>
            <w:tcBorders>
              <w:top w:color="ffffff" w:space="0" w:sz="6" w:val="single"/>
              <w:left w:color="ffffff" w:space="0" w:sz="6" w:val="single"/>
              <w:bottom w:color="ffffff" w:space="0" w:sz="6" w:val="single"/>
              <w:right w:color="ffffff" w:space="0" w:sz="6"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0D">
            <w:pPr>
              <w:spacing w:after="480"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Item</w:t>
            </w:r>
          </w:p>
        </w:tc>
        <w:tc>
          <w:tcPr>
            <w:tcBorders>
              <w:top w:color="ffffff" w:space="0" w:sz="6" w:val="single"/>
              <w:left w:color="ffffff" w:space="0" w:sz="6" w:val="single"/>
              <w:bottom w:color="ffffff" w:space="0" w:sz="6" w:val="single"/>
              <w:right w:color="ffffff" w:space="0" w:sz="6"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0E">
            <w:pPr>
              <w:spacing w:after="480"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Especificação </w:t>
            </w:r>
          </w:p>
        </w:tc>
        <w:tc>
          <w:tcPr>
            <w:tcBorders>
              <w:top w:color="ffffff" w:space="0" w:sz="6" w:val="single"/>
              <w:left w:color="ffffff" w:space="0" w:sz="6" w:val="single"/>
              <w:bottom w:color="ffffff" w:space="0" w:sz="6" w:val="single"/>
              <w:right w:color="ffffff" w:space="0" w:sz="6"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0F">
            <w:pPr>
              <w:spacing w:after="480"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Marca </w:t>
            </w:r>
          </w:p>
        </w:tc>
        <w:tc>
          <w:tcPr>
            <w:tcBorders>
              <w:top w:color="ffffff" w:space="0" w:sz="6" w:val="single"/>
              <w:left w:color="ffffff" w:space="0" w:sz="6" w:val="single"/>
              <w:bottom w:color="ffffff" w:space="0" w:sz="6" w:val="single"/>
              <w:right w:color="ffffff" w:space="0" w:sz="6"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10">
            <w:pPr>
              <w:spacing w:after="480"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Unidade</w:t>
            </w:r>
          </w:p>
        </w:tc>
        <w:tc>
          <w:tcPr>
            <w:tcBorders>
              <w:top w:color="ffffff" w:space="0" w:sz="6" w:val="single"/>
              <w:left w:color="ffffff" w:space="0" w:sz="6" w:val="single"/>
              <w:bottom w:color="ffffff" w:space="0" w:sz="6" w:val="single"/>
              <w:right w:color="ffffff" w:space="0" w:sz="6"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11">
            <w:pPr>
              <w:spacing w:after="480"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Quantidade Máxima Registrada</w:t>
            </w:r>
          </w:p>
        </w:tc>
        <w:tc>
          <w:tcPr>
            <w:tcBorders>
              <w:top w:color="ffffff" w:space="0" w:sz="6" w:val="single"/>
              <w:left w:color="ffffff" w:space="0" w:sz="6" w:val="single"/>
              <w:bottom w:color="ffffff" w:space="0" w:sz="6" w:val="single"/>
              <w:right w:color="ffffff" w:space="0" w:sz="6"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12">
            <w:pPr>
              <w:spacing w:after="480"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Quantidade Mínima Registrada)</w:t>
            </w:r>
          </w:p>
        </w:tc>
        <w:tc>
          <w:tcPr>
            <w:tcBorders>
              <w:top w:color="ffffff" w:space="0" w:sz="6" w:val="single"/>
              <w:left w:color="ffffff" w:space="0" w:sz="6" w:val="single"/>
              <w:bottom w:color="ffffff" w:space="0" w:sz="6" w:val="single"/>
              <w:right w:color="ffffff" w:space="0" w:sz="6"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13">
            <w:pPr>
              <w:spacing w:after="480"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Valor Unitário Registrado (R$)</w:t>
            </w:r>
          </w:p>
        </w:tc>
        <w:tc>
          <w:tcPr>
            <w:tcBorders>
              <w:top w:color="ffffff" w:space="0" w:sz="6" w:val="single"/>
              <w:left w:color="ffffff" w:space="0" w:sz="6" w:val="single"/>
              <w:bottom w:color="ffffff" w:space="0" w:sz="6" w:val="single"/>
              <w:right w:color="ffffff" w:space="0" w:sz="6"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14">
            <w:pPr>
              <w:spacing w:after="480"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Valor Total Registrado (R$)</w:t>
            </w:r>
          </w:p>
        </w:tc>
        <w:tc>
          <w:tcPr>
            <w:tcBorders>
              <w:top w:color="ffffff" w:space="0" w:sz="6" w:val="single"/>
              <w:left w:color="ffffff" w:space="0" w:sz="6" w:val="single"/>
              <w:bottom w:color="ffffff" w:space="0" w:sz="6" w:val="single"/>
              <w:right w:color="ffffff" w:space="0" w:sz="6"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15">
            <w:pPr>
              <w:spacing w:after="480"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Prazo de Garantia / Validade </w:t>
            </w:r>
          </w:p>
        </w:tc>
      </w:tr>
      <w:tr>
        <w:trPr>
          <w:cantSplit w:val="0"/>
          <w:trHeight w:val="530" w:hRule="atLeast"/>
          <w:tblHeader w:val="0"/>
        </w:trPr>
        <w:tc>
          <w:tcPr>
            <w:tcBorders>
              <w:top w:color="ffffff" w:space="0" w:sz="6" w:val="single"/>
              <w:left w:color="ffffff" w:space="0" w:sz="6" w:val="single"/>
              <w:bottom w:color="ffffff" w:space="0" w:sz="6" w:val="single"/>
              <w:right w:color="ffffff"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6">
            <w:pPr>
              <w:spacing w:after="480" w:line="276" w:lineRule="auto"/>
              <w:jc w:val="both"/>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1</w:t>
            </w:r>
          </w:p>
        </w:tc>
        <w:tc>
          <w:tcPr>
            <w:tcBorders>
              <w:top w:color="ffffff" w:space="0" w:sz="6" w:val="single"/>
              <w:left w:color="ffffff" w:space="0" w:sz="6" w:val="single"/>
              <w:bottom w:color="ffffff" w:space="0" w:sz="6" w:val="single"/>
              <w:right w:color="ffffff"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7">
            <w:pPr>
              <w:spacing w:after="480" w:line="276" w:lineRule="auto"/>
              <w:jc w:val="both"/>
              <w:rPr>
                <w:rFonts w:ascii="Calibri" w:cs="Calibri" w:eastAsia="Calibri" w:hAnsi="Calibri"/>
                <w:color w:val="ff0000"/>
                <w:sz w:val="24"/>
                <w:szCs w:val="24"/>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8">
            <w:pPr>
              <w:spacing w:after="480" w:line="276" w:lineRule="auto"/>
              <w:jc w:val="both"/>
              <w:rPr>
                <w:rFonts w:ascii="Calibri" w:cs="Calibri" w:eastAsia="Calibri" w:hAnsi="Calibri"/>
                <w:color w:val="ff0000"/>
                <w:sz w:val="24"/>
                <w:szCs w:val="24"/>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9">
            <w:pPr>
              <w:spacing w:after="480" w:line="276" w:lineRule="auto"/>
              <w:jc w:val="both"/>
              <w:rPr>
                <w:rFonts w:ascii="Calibri" w:cs="Calibri" w:eastAsia="Calibri" w:hAnsi="Calibri"/>
                <w:color w:val="ff0000"/>
                <w:sz w:val="24"/>
                <w:szCs w:val="24"/>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A">
            <w:pPr>
              <w:spacing w:after="480" w:line="276" w:lineRule="auto"/>
              <w:jc w:val="both"/>
              <w:rPr>
                <w:rFonts w:ascii="Calibri" w:cs="Calibri" w:eastAsia="Calibri" w:hAnsi="Calibri"/>
                <w:color w:val="ff0000"/>
                <w:sz w:val="24"/>
                <w:szCs w:val="24"/>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B">
            <w:pPr>
              <w:spacing w:after="480" w:line="276" w:lineRule="auto"/>
              <w:jc w:val="both"/>
              <w:rPr>
                <w:rFonts w:ascii="Calibri" w:cs="Calibri" w:eastAsia="Calibri" w:hAnsi="Calibri"/>
                <w:color w:val="ff0000"/>
                <w:sz w:val="24"/>
                <w:szCs w:val="24"/>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C">
            <w:pPr>
              <w:spacing w:after="480" w:line="276" w:lineRule="auto"/>
              <w:jc w:val="both"/>
              <w:rPr>
                <w:rFonts w:ascii="Calibri" w:cs="Calibri" w:eastAsia="Calibri" w:hAnsi="Calibri"/>
                <w:color w:val="ff0000"/>
                <w:sz w:val="24"/>
                <w:szCs w:val="24"/>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D">
            <w:pPr>
              <w:spacing w:after="480" w:line="276" w:lineRule="auto"/>
              <w:jc w:val="both"/>
              <w:rPr>
                <w:rFonts w:ascii="Calibri" w:cs="Calibri" w:eastAsia="Calibri" w:hAnsi="Calibri"/>
                <w:color w:val="ff0000"/>
                <w:sz w:val="24"/>
                <w:szCs w:val="24"/>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E">
            <w:pPr>
              <w:spacing w:after="480" w:line="276" w:lineRule="auto"/>
              <w:jc w:val="both"/>
              <w:rPr>
                <w:rFonts w:ascii="Calibri" w:cs="Calibri" w:eastAsia="Calibri" w:hAnsi="Calibri"/>
                <w:color w:val="ff0000"/>
                <w:sz w:val="24"/>
                <w:szCs w:val="24"/>
              </w:rPr>
            </w:pPr>
            <w:r w:rsidDel="00000000" w:rsidR="00000000" w:rsidRPr="00000000">
              <w:rPr>
                <w:rtl w:val="0"/>
              </w:rPr>
            </w:r>
          </w:p>
        </w:tc>
      </w:tr>
      <w:tr>
        <w:trPr>
          <w:cantSplit w:val="0"/>
          <w:trHeight w:val="530" w:hRule="atLeast"/>
          <w:tblHeader w:val="0"/>
        </w:trPr>
        <w:tc>
          <w:tcPr>
            <w:tcBorders>
              <w:top w:color="ffffff" w:space="0" w:sz="6" w:val="single"/>
              <w:left w:color="ffffff" w:space="0" w:sz="6" w:val="single"/>
              <w:bottom w:color="ffffff" w:space="0" w:sz="6" w:val="single"/>
              <w:right w:color="ffffff" w:space="0" w:sz="6"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1F">
            <w:pPr>
              <w:spacing w:after="480" w:line="276" w:lineRule="auto"/>
              <w:jc w:val="both"/>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2</w:t>
            </w:r>
          </w:p>
        </w:tc>
        <w:tc>
          <w:tcPr>
            <w:tcBorders>
              <w:top w:color="ffffff" w:space="0" w:sz="6" w:val="single"/>
              <w:left w:color="ffffff" w:space="0" w:sz="6" w:val="single"/>
              <w:bottom w:color="ffffff" w:space="0" w:sz="6" w:val="single"/>
              <w:right w:color="ffffff" w:space="0" w:sz="6"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20">
            <w:pPr>
              <w:spacing w:after="480" w:line="276" w:lineRule="auto"/>
              <w:jc w:val="both"/>
              <w:rPr>
                <w:rFonts w:ascii="Calibri" w:cs="Calibri" w:eastAsia="Calibri" w:hAnsi="Calibri"/>
                <w:color w:val="ff0000"/>
                <w:sz w:val="24"/>
                <w:szCs w:val="24"/>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21">
            <w:pPr>
              <w:spacing w:after="480" w:line="276" w:lineRule="auto"/>
              <w:jc w:val="both"/>
              <w:rPr>
                <w:rFonts w:ascii="Calibri" w:cs="Calibri" w:eastAsia="Calibri" w:hAnsi="Calibri"/>
                <w:color w:val="ff0000"/>
                <w:sz w:val="24"/>
                <w:szCs w:val="24"/>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22">
            <w:pPr>
              <w:spacing w:after="480" w:line="276" w:lineRule="auto"/>
              <w:jc w:val="both"/>
              <w:rPr>
                <w:rFonts w:ascii="Calibri" w:cs="Calibri" w:eastAsia="Calibri" w:hAnsi="Calibri"/>
                <w:color w:val="ff0000"/>
                <w:sz w:val="24"/>
                <w:szCs w:val="24"/>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23">
            <w:pPr>
              <w:spacing w:after="480" w:line="276" w:lineRule="auto"/>
              <w:jc w:val="both"/>
              <w:rPr>
                <w:rFonts w:ascii="Calibri" w:cs="Calibri" w:eastAsia="Calibri" w:hAnsi="Calibri"/>
                <w:color w:val="ff0000"/>
                <w:sz w:val="24"/>
                <w:szCs w:val="24"/>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24">
            <w:pPr>
              <w:spacing w:after="480" w:line="276" w:lineRule="auto"/>
              <w:jc w:val="both"/>
              <w:rPr>
                <w:rFonts w:ascii="Calibri" w:cs="Calibri" w:eastAsia="Calibri" w:hAnsi="Calibri"/>
                <w:color w:val="ff0000"/>
                <w:sz w:val="24"/>
                <w:szCs w:val="24"/>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25">
            <w:pPr>
              <w:spacing w:after="480" w:line="276" w:lineRule="auto"/>
              <w:jc w:val="both"/>
              <w:rPr>
                <w:rFonts w:ascii="Calibri" w:cs="Calibri" w:eastAsia="Calibri" w:hAnsi="Calibri"/>
                <w:color w:val="ff0000"/>
                <w:sz w:val="24"/>
                <w:szCs w:val="24"/>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26">
            <w:pPr>
              <w:spacing w:after="480" w:line="276" w:lineRule="auto"/>
              <w:jc w:val="both"/>
              <w:rPr>
                <w:rFonts w:ascii="Calibri" w:cs="Calibri" w:eastAsia="Calibri" w:hAnsi="Calibri"/>
                <w:color w:val="ff0000"/>
                <w:sz w:val="24"/>
                <w:szCs w:val="24"/>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27">
            <w:pPr>
              <w:spacing w:after="480" w:line="276" w:lineRule="auto"/>
              <w:jc w:val="both"/>
              <w:rPr>
                <w:rFonts w:ascii="Calibri" w:cs="Calibri" w:eastAsia="Calibri" w:hAnsi="Calibri"/>
                <w:color w:val="ff0000"/>
                <w:sz w:val="24"/>
                <w:szCs w:val="24"/>
              </w:rPr>
            </w:pPr>
            <w:r w:rsidDel="00000000" w:rsidR="00000000" w:rsidRPr="00000000">
              <w:rPr>
                <w:rtl w:val="0"/>
              </w:rPr>
            </w:r>
          </w:p>
        </w:tc>
      </w:tr>
    </w:tbl>
    <w:p w:rsidR="00000000" w:rsidDel="00000000" w:rsidP="00000000" w:rsidRDefault="00000000" w:rsidRPr="00000000" w14:paraId="00000028">
      <w:pPr>
        <w:spacing w:after="240" w:line="276" w:lineRule="auto"/>
        <w:jc w:val="both"/>
        <w:rPr>
          <w:rFonts w:ascii="Calibri" w:cs="Calibri" w:eastAsia="Calibri" w:hAnsi="Calibri"/>
          <w:i w:val="1"/>
          <w:color w:val="ff0000"/>
          <w:sz w:val="24"/>
          <w:szCs w:val="24"/>
        </w:rPr>
      </w:pPr>
      <w:r w:rsidDel="00000000" w:rsidR="00000000" w:rsidRPr="00000000">
        <w:rPr>
          <w:rFonts w:ascii="Calibri" w:cs="Calibri" w:eastAsia="Calibri" w:hAnsi="Calibri"/>
          <w:i w:val="1"/>
          <w:color w:val="ff0000"/>
          <w:sz w:val="24"/>
          <w:szCs w:val="24"/>
          <w:rtl w:val="0"/>
        </w:rPr>
        <w:t xml:space="preserve">(Instrução: Preencher a tabela com os dados do item/grupo vencedor)</w:t>
      </w:r>
    </w:p>
    <w:p w:rsidR="00000000" w:rsidDel="00000000" w:rsidP="00000000" w:rsidRDefault="00000000" w:rsidRPr="00000000" w14:paraId="00000029">
      <w:pPr>
        <w:pBdr>
          <w:top w:color="auto" w:space="0" w:sz="0" w:val="none"/>
          <w:bottom w:color="auto" w:space="0" w:sz="0" w:val="none"/>
          <w:between w:color="auto" w:space="0" w:sz="0" w:val="none"/>
        </w:pBdr>
        <w:spacing w:after="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 Os preços registrados poderão ser alterados ou atualizados em decorrência de eventual redução dos preços praticados no mercado ou de fato que eleve o custo dos bens ou dos serviços registrados, nas seguintes situações: </w:t>
      </w:r>
    </w:p>
    <w:p w:rsidR="00000000" w:rsidDel="00000000" w:rsidP="00000000" w:rsidRDefault="00000000" w:rsidRPr="00000000" w14:paraId="0000002A">
      <w:pPr>
        <w:pBdr>
          <w:top w:color="auto" w:space="0" w:sz="0" w:val="none"/>
          <w:bottom w:color="auto" w:space="0" w:sz="0" w:val="none"/>
          <w:between w:color="auto" w:space="0" w:sz="0" w:val="none"/>
        </w:pBdr>
        <w:spacing w:after="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2.2.1. em caso de força maior, caso fortuito ou fato do príncipe ou em decorrência de fatos imprevisíveis ou previsíveis de consequências incalculáveis, que inviabilizam a execução da ata tal como pactuada, nos termos do disposto na alínea “d” do inciso II do caput do art. 124 da Lei nº 14.133, de 2021; </w:t>
      </w:r>
    </w:p>
    <w:p w:rsidR="00000000" w:rsidDel="00000000" w:rsidP="00000000" w:rsidRDefault="00000000" w:rsidRPr="00000000" w14:paraId="0000002B">
      <w:pPr>
        <w:pBdr>
          <w:top w:color="auto" w:space="0" w:sz="0" w:val="none"/>
          <w:bottom w:color="auto" w:space="0" w:sz="0" w:val="none"/>
          <w:between w:color="auto" w:space="0" w:sz="0" w:val="none"/>
        </w:pBdr>
        <w:spacing w:after="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2.2.2. em caso de criação, alteração ou extinção de quaisquer tributos ou encargos legais ou superveniência de disposições legais, com comprovada repercussão sobre os preços registrados; </w:t>
      </w:r>
    </w:p>
    <w:p w:rsidR="00000000" w:rsidDel="00000000" w:rsidP="00000000" w:rsidRDefault="00000000" w:rsidRPr="00000000" w14:paraId="0000002C">
      <w:pPr>
        <w:pBdr>
          <w:top w:color="auto" w:space="0" w:sz="0" w:val="none"/>
          <w:bottom w:color="auto" w:space="0" w:sz="0" w:val="none"/>
          <w:between w:color="auto" w:space="0" w:sz="0" w:val="none"/>
        </w:pBdr>
        <w:spacing w:after="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2.2.3. serão reajustados os preços registrados, respeitada a contagem da anualidade e o índice previsto para a contratação;  ou</w:t>
      </w:r>
    </w:p>
    <w:p w:rsidR="00000000" w:rsidDel="00000000" w:rsidP="00000000" w:rsidRDefault="00000000" w:rsidRPr="00000000" w14:paraId="0000002D">
      <w:pPr>
        <w:pBdr>
          <w:top w:color="auto" w:space="0" w:sz="0" w:val="none"/>
          <w:bottom w:color="auto" w:space="0" w:sz="0" w:val="none"/>
          <w:between w:color="auto" w:space="0" w:sz="0" w:val="none"/>
        </w:pBdr>
        <w:spacing w:after="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2.2.4. poderão ser repactuados, a pedido do interessado, conforme critérios definidos para a contratação.</w:t>
      </w:r>
    </w:p>
    <w:p w:rsidR="00000000" w:rsidDel="00000000" w:rsidP="00000000" w:rsidRDefault="00000000" w:rsidRPr="00000000" w14:paraId="0000002E">
      <w:pPr>
        <w:pBdr>
          <w:top w:color="auto" w:space="0" w:sz="0" w:val="none"/>
          <w:bottom w:color="auto" w:space="0" w:sz="0" w:val="none"/>
          <w:between w:color="auto" w:space="0" w:sz="0" w:val="none"/>
        </w:pBdr>
        <w:spacing w:after="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2.2.5 O detalhamento do funcionamento das cláusulas de revisão, repactuação, e reajuste estão indicados na cláusula 13ª do Termo de Referência. </w:t>
      </w:r>
    </w:p>
    <w:p w:rsidR="00000000" w:rsidDel="00000000" w:rsidP="00000000" w:rsidRDefault="00000000" w:rsidRPr="00000000" w14:paraId="0000002F">
      <w:pPr>
        <w:pBdr>
          <w:top w:color="auto" w:space="0" w:sz="0" w:val="none"/>
          <w:bottom w:color="auto" w:space="0" w:sz="0" w:val="none"/>
          <w:between w:color="auto" w:space="0" w:sz="0" w:val="none"/>
        </w:pBdr>
        <w:spacing w:after="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2.3. O órgão ou entidade gerenciadora comunicará aos órgãos e às entidades que tiverem firmado contratos decorrentes da ata de registro de preços sobre a efetiva alteração do preço registrado, para que avaliem a necessidade de alteração contratual, observado o disposto no art. 124 da Lei nº 14.133, de 2021.</w:t>
      </w:r>
    </w:p>
    <w:p w:rsidR="00000000" w:rsidDel="00000000" w:rsidP="00000000" w:rsidRDefault="00000000" w:rsidRPr="00000000" w14:paraId="00000030">
      <w:pPr>
        <w:pBdr>
          <w:top w:color="auto" w:space="0" w:sz="0" w:val="none"/>
          <w:bottom w:color="auto" w:space="0" w:sz="0" w:val="none"/>
          <w:between w:color="auto" w:space="0" w:sz="0" w:val="none"/>
        </w:pBd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2.4. Os Requisitos do Objeto estão indicados na cláusula 6ª, e o Modelo de Execução ou Fornecimento do Objeto está indicado na Cláusula 7ª, ambas do Termo de Referência.</w:t>
      </w:r>
    </w:p>
    <w:tbl>
      <w:tblPr>
        <w:tblStyle w:val="Table4"/>
        <w:tblW w:w="93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360"/>
        <w:tblGridChange w:id="0">
          <w:tblGrid>
            <w:gridCol w:w="9360"/>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31">
            <w:pPr>
              <w:spacing w:after="0"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CLÁUSULA TERCEIRA – DOS FORNECEDORES REGISTRADOS </w:t>
            </w:r>
          </w:p>
        </w:tc>
      </w:tr>
    </w:tbl>
    <w:p w:rsidR="00000000" w:rsidDel="00000000" w:rsidP="00000000" w:rsidRDefault="00000000" w:rsidRPr="00000000" w14:paraId="00000032">
      <w:pPr>
        <w:pBdr>
          <w:top w:color="auto" w:space="0" w:sz="0" w:val="none"/>
          <w:bottom w:color="auto" w:space="0" w:sz="0" w:val="none"/>
          <w:between w:color="auto" w:space="0" w:sz="0" w:val="none"/>
        </w:pBdr>
        <w:spacing w:after="24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 O fornecedor com a melhor proposta apresentada no certame foi:</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pBdr>
                <w:top w:color="auto" w:space="0" w:sz="0" w:val="none"/>
                <w:bottom w:color="auto" w:space="0" w:sz="0" w:val="none"/>
                <w:between w:color="auto" w:space="0" w:sz="0" w:val="none"/>
              </w:pBdr>
              <w:spacing w:after="240" w:line="276" w:lineRule="auto"/>
              <w:jc w:val="both"/>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[NOME FORNECEDOR VENCEDOR], pessoa jurídica de direito privado, inscrita no CNPJ sob o nº _________, com sede à Rua ______, nº , Bairro ___, na cidade de ___ – Estado, CEP: _, Telefone (), e-mail: ___, neste ato devidamente representada pelo(a) Sr(a). ___, portador(a) do RG nº ___ e CPF nº ___.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35">
      <w:pPr>
        <w:pBdr>
          <w:top w:color="auto" w:space="0" w:sz="0" w:val="none"/>
          <w:bottom w:color="auto" w:space="0" w:sz="0" w:val="none"/>
          <w:between w:color="auto" w:space="0" w:sz="0" w:val="none"/>
        </w:pBdr>
        <w:spacing w:after="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 Serão registrados nos Anexos I e II desta ata os preços (se diferentes), os fornecedores e os quantitativos de cada fornecedor que manifestou interesse em ingressar no cadastro de reserva, conforme regras do edital. </w:t>
      </w:r>
    </w:p>
    <w:tbl>
      <w:tblPr>
        <w:tblStyle w:val="Table6"/>
        <w:tblW w:w="9360.0" w:type="dxa"/>
        <w:jc w:val="left"/>
        <w:tblBorders>
          <w:top w:color="f3f3f3" w:space="0" w:sz="8" w:val="single"/>
          <w:left w:color="f3f3f3" w:space="0" w:sz="8" w:val="single"/>
          <w:bottom w:color="f3f3f3" w:space="0" w:sz="8" w:val="single"/>
          <w:right w:color="f3f3f3" w:space="0" w:sz="8" w:val="single"/>
          <w:insideH w:color="f3f3f3" w:space="0" w:sz="8" w:val="single"/>
          <w:insideV w:color="f3f3f3" w:space="0" w:sz="8" w:val="single"/>
        </w:tblBorders>
        <w:tblLayout w:type="fixed"/>
        <w:tblLook w:val="0600"/>
      </w:tblPr>
      <w:tblGrid>
        <w:gridCol w:w="9360"/>
        <w:tblGridChange w:id="0">
          <w:tblGrid>
            <w:gridCol w:w="9360"/>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CLÁUSULA QUARTA – CADASTRO DE RESERVA</w:t>
            </w:r>
          </w:p>
        </w:tc>
      </w:tr>
    </w:tbl>
    <w:p w:rsidR="00000000" w:rsidDel="00000000" w:rsidP="00000000" w:rsidRDefault="00000000" w:rsidRPr="00000000" w14:paraId="00000037">
      <w:pPr>
        <w:pBdr>
          <w:top w:color="auto" w:space="0" w:sz="0" w:val="none"/>
          <w:bottom w:color="auto" w:space="0" w:sz="0" w:val="none"/>
          <w:between w:color="auto" w:space="0" w:sz="0" w:val="none"/>
        </w:pBdr>
        <w:spacing w:after="0" w:before="0"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8">
      <w:pPr>
        <w:pBdr>
          <w:top w:color="auto" w:space="0" w:sz="0" w:val="none"/>
          <w:bottom w:color="auto" w:space="0" w:sz="0" w:val="none"/>
          <w:between w:color="auto" w:space="0" w:sz="0" w:val="none"/>
        </w:pBdr>
        <w:spacing w:after="0" w:before="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 Após a homologação da licitação, será incluído na ata, na forma dos Anexos I e II, o registro:</w:t>
      </w:r>
    </w:p>
    <w:p w:rsidR="00000000" w:rsidDel="00000000" w:rsidP="00000000" w:rsidRDefault="00000000" w:rsidRPr="00000000" w14:paraId="00000039">
      <w:pPr>
        <w:pBdr>
          <w:top w:color="auto" w:space="0" w:sz="0" w:val="none"/>
          <w:bottom w:color="auto" w:space="0" w:sz="0" w:val="none"/>
          <w:between w:color="auto" w:space="0" w:sz="0" w:val="none"/>
        </w:pBdr>
        <w:spacing w:after="0" w:before="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4.1.1. dos licitantes que aceitarem cotar o objeto com preço igual ao do adjudicatário, observada a classificação na licitação (Lista 1); e</w:t>
      </w:r>
    </w:p>
    <w:p w:rsidR="00000000" w:rsidDel="00000000" w:rsidP="00000000" w:rsidRDefault="00000000" w:rsidRPr="00000000" w14:paraId="0000003A">
      <w:pPr>
        <w:pBdr>
          <w:top w:color="auto" w:space="0" w:sz="0" w:val="none"/>
          <w:bottom w:color="auto" w:space="0" w:sz="0" w:val="none"/>
          <w:between w:color="auto" w:space="0" w:sz="0" w:val="none"/>
        </w:pBdr>
        <w:spacing w:after="0" w:before="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4.1.2. dos licitantes que mantiverem sua proposta original (Lista 2). </w:t>
      </w:r>
    </w:p>
    <w:p w:rsidR="00000000" w:rsidDel="00000000" w:rsidP="00000000" w:rsidRDefault="00000000" w:rsidRPr="00000000" w14:paraId="0000003B">
      <w:pPr>
        <w:pBdr>
          <w:top w:color="auto" w:space="0" w:sz="0" w:val="none"/>
          <w:bottom w:color="auto" w:space="0" w:sz="0" w:val="none"/>
          <w:between w:color="auto" w:space="0" w:sz="0" w:val="none"/>
        </w:pBdr>
        <w:spacing w:after="0" w:before="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 Será respeitada, nas contratações, a ordem de classificação dos licitantes ou fornecedores registrados na ata. </w:t>
      </w:r>
    </w:p>
    <w:p w:rsidR="00000000" w:rsidDel="00000000" w:rsidP="00000000" w:rsidRDefault="00000000" w:rsidRPr="00000000" w14:paraId="0000003C">
      <w:pPr>
        <w:pBdr>
          <w:top w:color="auto" w:space="0" w:sz="0" w:val="none"/>
          <w:bottom w:color="auto" w:space="0" w:sz="0" w:val="none"/>
          <w:between w:color="auto" w:space="0" w:sz="0" w:val="none"/>
        </w:pBdr>
        <w:spacing w:after="0" w:before="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4.3. A formação do cadastro de reserva na forma deste item não prejudicará o resultado do certame em relação ao licitante mais bem classificado. </w:t>
      </w:r>
    </w:p>
    <w:p w:rsidR="00000000" w:rsidDel="00000000" w:rsidP="00000000" w:rsidRDefault="00000000" w:rsidRPr="00000000" w14:paraId="0000003D">
      <w:pPr>
        <w:pBdr>
          <w:top w:color="auto" w:space="0" w:sz="0" w:val="none"/>
          <w:bottom w:color="auto" w:space="0" w:sz="0" w:val="none"/>
          <w:between w:color="auto" w:space="0" w:sz="0" w:val="none"/>
        </w:pBdr>
        <w:spacing w:after="0" w:before="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4.4. Para fins da ordem de classificação e convocação para contratação, os licitantes ou fornecedores que aceitarem cotar o objeto com preço igual ao do adjudicatário (Lista 1) antecederão aqueles que mantiverem sua proposta original (Lista 2). </w:t>
      </w:r>
    </w:p>
    <w:p w:rsidR="00000000" w:rsidDel="00000000" w:rsidP="00000000" w:rsidRDefault="00000000" w:rsidRPr="00000000" w14:paraId="0000003E">
      <w:pPr>
        <w:pBdr>
          <w:top w:color="auto" w:space="0" w:sz="0" w:val="none"/>
          <w:bottom w:color="auto" w:space="0" w:sz="0" w:val="none"/>
          <w:between w:color="auto" w:space="0" w:sz="0" w:val="none"/>
        </w:pBdr>
        <w:spacing w:after="0" w:before="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 A habilitação dos licitantes que comporão o cadastro de reserva será efetuada somente quando houver necessidade de contratação dos licitantes remanescentes, garantido o contraditório e a ampla defesa. </w:t>
      </w:r>
    </w:p>
    <w:p w:rsidR="00000000" w:rsidDel="00000000" w:rsidP="00000000" w:rsidRDefault="00000000" w:rsidRPr="00000000" w14:paraId="0000003F">
      <w:pPr>
        <w:pBdr>
          <w:top w:color="auto" w:space="0" w:sz="0" w:val="none"/>
          <w:bottom w:color="auto" w:space="0" w:sz="0" w:val="none"/>
          <w:between w:color="auto" w:space="0" w:sz="0" w:val="none"/>
        </w:pBdr>
        <w:spacing w:after="0" w:before="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4.6. A necessidade de contratação de licitante remanescente do cadastro de reserva ocorrerá nas seguintes hipóteses: </w:t>
      </w:r>
    </w:p>
    <w:p w:rsidR="00000000" w:rsidDel="00000000" w:rsidP="00000000" w:rsidRDefault="00000000" w:rsidRPr="00000000" w14:paraId="00000040">
      <w:pPr>
        <w:pBdr>
          <w:top w:color="auto" w:space="0" w:sz="0" w:val="none"/>
          <w:bottom w:color="auto" w:space="0" w:sz="0" w:val="none"/>
          <w:between w:color="auto" w:space="0" w:sz="0" w:val="none"/>
        </w:pBdr>
        <w:spacing w:after="0" w:before="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4.6.1. quando o licitante vencedor não assinar a ata de registro de preços no prazo e nas condições estabelecidos no edital; ou</w:t>
      </w:r>
    </w:p>
    <w:p w:rsidR="00000000" w:rsidDel="00000000" w:rsidP="00000000" w:rsidRDefault="00000000" w:rsidRPr="00000000" w14:paraId="00000041">
      <w:pPr>
        <w:pBdr>
          <w:top w:color="auto" w:space="0" w:sz="0" w:val="none"/>
          <w:bottom w:color="auto" w:space="0" w:sz="0" w:val="none"/>
          <w:between w:color="auto" w:space="0" w:sz="0" w:val="none"/>
        </w:pBdr>
        <w:spacing w:after="0" w:before="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4.6.2. quando houver o cancelamento do registro do fornecedor ou do registro de preços, nas hipóteses previstas no art. 131 do Decreto Municipal nº 115/2023 [source: 139-140] ou na Cláusula Oitava desta Ata.</w:t>
      </w:r>
    </w:p>
    <w:p w:rsidR="00000000" w:rsidDel="00000000" w:rsidP="00000000" w:rsidRDefault="00000000" w:rsidRPr="00000000" w14:paraId="00000042">
      <w:pPr>
        <w:pBdr>
          <w:top w:color="auto" w:space="0" w:sz="0" w:val="none"/>
          <w:bottom w:color="auto" w:space="0" w:sz="0" w:val="none"/>
          <w:between w:color="auto" w:space="0" w:sz="0" w:val="none"/>
        </w:pBdr>
        <w:spacing w:after="0" w:before="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4.7. Na hipótese de nenhum dos licitantes da Lista 1 (preço igual ao do adjudicatário) concordar com a contratação nos termos propostos pelo primeiro classificado, a Administração, observados o valor estimado e a sua eventual atualização, poderá: </w:t>
      </w:r>
    </w:p>
    <w:p w:rsidR="00000000" w:rsidDel="00000000" w:rsidP="00000000" w:rsidRDefault="00000000" w:rsidRPr="00000000" w14:paraId="00000043">
      <w:pPr>
        <w:pBdr>
          <w:top w:color="auto" w:space="0" w:sz="0" w:val="none"/>
          <w:bottom w:color="auto" w:space="0" w:sz="0" w:val="none"/>
          <w:between w:color="auto" w:space="0" w:sz="0" w:val="none"/>
        </w:pBdr>
        <w:spacing w:after="0" w:before="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4.7.1. convocar os licitantes da Lista 2 (proposta original) para negociação, na ordem de classificação, com vistas à obtenção de preço melhor, mesmo que acima do preço do adjudicatário; [source: 141] ou</w:t>
      </w:r>
    </w:p>
    <w:p w:rsidR="00000000" w:rsidDel="00000000" w:rsidP="00000000" w:rsidRDefault="00000000" w:rsidRPr="00000000" w14:paraId="00000044">
      <w:pPr>
        <w:pBdr>
          <w:top w:color="auto" w:space="0" w:sz="0" w:val="none"/>
          <w:bottom w:color="auto" w:space="0" w:sz="0" w:val="none"/>
          <w:between w:color="auto" w:space="0" w:sz="0" w:val="none"/>
        </w:pBdr>
        <w:spacing w:after="0" w:before="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4.7.2 adjudicar e firmar o contrato nas condições ofertadas pelos licitantes remanescentes da Lista 2, observada a ordem de classificação, quando frustrada a negociação de melhor condição. </w:t>
      </w:r>
    </w:p>
    <w:tbl>
      <w:tblPr>
        <w:tblStyle w:val="Table7"/>
        <w:tblW w:w="9360.0" w:type="dxa"/>
        <w:jc w:val="left"/>
        <w:tblBorders>
          <w:top w:color="f3f3f3" w:space="0" w:sz="8" w:val="single"/>
          <w:left w:color="f3f3f3" w:space="0" w:sz="8" w:val="single"/>
          <w:bottom w:color="f3f3f3" w:space="0" w:sz="8" w:val="single"/>
          <w:right w:color="f3f3f3" w:space="0" w:sz="8" w:val="single"/>
          <w:insideH w:color="f3f3f3" w:space="0" w:sz="8" w:val="single"/>
          <w:insideV w:color="f3f3f3" w:space="0" w:sz="8" w:val="single"/>
        </w:tblBorders>
        <w:tblLayout w:type="fixed"/>
        <w:tblLook w:val="0600"/>
      </w:tblPr>
      <w:tblGrid>
        <w:gridCol w:w="9360"/>
        <w:tblGridChange w:id="0">
          <w:tblGrid>
            <w:gridCol w:w="936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45">
            <w:pPr>
              <w:spacing w:after="0"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CLÁUSULA QUINTA – CONTRATAÇÃO </w:t>
            </w:r>
          </w:p>
        </w:tc>
      </w:tr>
    </w:tbl>
    <w:p w:rsidR="00000000" w:rsidDel="00000000" w:rsidP="00000000" w:rsidRDefault="00000000" w:rsidRPr="00000000" w14:paraId="00000046">
      <w:pPr>
        <w:pBdr>
          <w:top w:color="auto" w:space="0" w:sz="0" w:val="none"/>
          <w:bottom w:color="auto" w:space="0" w:sz="0" w:val="none"/>
          <w:between w:color="auto" w:space="0" w:sz="0" w:val="none"/>
        </w:pBdr>
        <w:spacing w:after="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5.1. A contratação com os fornecedores registrados na ata será formalizada pelo município por intermédio de instrumento contratual, emissão de nota de empenho de despesa, autorização de compra ou outro instrumento hábil, conforme o art. 95 da Lei nº 14.133/2021. </w:t>
      </w:r>
    </w:p>
    <w:p w:rsidR="00000000" w:rsidDel="00000000" w:rsidP="00000000" w:rsidRDefault="00000000" w:rsidRPr="00000000" w14:paraId="00000047">
      <w:pPr>
        <w:pBdr>
          <w:top w:color="auto" w:space="0" w:sz="0" w:val="none"/>
          <w:bottom w:color="auto" w:space="0" w:sz="0" w:val="none"/>
          <w:between w:color="auto" w:space="0" w:sz="0" w:val="none"/>
        </w:pBdr>
        <w:spacing w:after="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5.2. O licitante mais bem classificado será convocado para assinar a ata de registro de preços no prazo e nas condições estabelecidos no edital de licitação, sob pena de decair o direito, sem prejuízo das sanções previstas na Lei nº 14.133, de 2021. </w:t>
      </w:r>
    </w:p>
    <w:p w:rsidR="00000000" w:rsidDel="00000000" w:rsidP="00000000" w:rsidRDefault="00000000" w:rsidRPr="00000000" w14:paraId="00000048">
      <w:pPr>
        <w:pBdr>
          <w:top w:color="auto" w:space="0" w:sz="0" w:val="none"/>
          <w:bottom w:color="auto" w:space="0" w:sz="0" w:val="none"/>
          <w:between w:color="auto" w:space="0" w:sz="0" w:val="none"/>
        </w:pBdr>
        <w:spacing w:after="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5.3. Quando o convocado não assinar a ata de registro de preços no prazo e nas condições estabelecidos, sem prejuízo da abertura de procedimento administrativo para aplicação de penalidade, fica facultado à Administração convocar os licitantes remanescentes do cadastro de reserva, na ordem de classificação (primeiro os da Lista 1, depois os da Lista 2), para fazê-lo em igual prazo e nas condições propostas pelo primeiro classificado (para os da Lista 1) ou conforme negociação (para os da Lista 2). </w:t>
      </w:r>
    </w:p>
    <w:p w:rsidR="00000000" w:rsidDel="00000000" w:rsidP="00000000" w:rsidRDefault="00000000" w:rsidRPr="00000000" w14:paraId="00000049">
      <w:pPr>
        <w:pBdr>
          <w:top w:color="auto" w:space="0" w:sz="0" w:val="none"/>
          <w:bottom w:color="auto" w:space="0" w:sz="0" w:val="none"/>
          <w:between w:color="auto" w:space="0" w:sz="0" w:val="none"/>
        </w:pBdr>
        <w:spacing w:after="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5.4 A existência de preços registrados implicará compromisso de fornecimento nas condições estabelecidas, mas não obrigará a Administração a contratar o total registrado, facultada a realização de licitação específica para a aquisição pretendida, desde que devidamente motivada (Art. 83 da Lei 14.133/2021). A contratação se dará por demanda do Município, conforme necessidade e interesse público.</w:t>
      </w:r>
    </w:p>
    <w:p w:rsidR="00000000" w:rsidDel="00000000" w:rsidP="00000000" w:rsidRDefault="00000000" w:rsidRPr="00000000" w14:paraId="0000004A">
      <w:pPr>
        <w:pBdr>
          <w:top w:color="auto" w:space="0" w:sz="0" w:val="none"/>
          <w:bottom w:color="auto" w:space="0" w:sz="0" w:val="none"/>
          <w:between w:color="auto" w:space="0" w:sz="0" w:val="none"/>
        </w:pBdr>
        <w:spacing w:after="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5.5. A vigência dos contratos ou instrumentos equivalentes derivados desta Ata observará o estabelecido no Termo de Referência (Anexo I do Edital), em especial quanto à natureza do objeto (Cláusula 2.3 do TR). </w:t>
      </w:r>
    </w:p>
    <w:p w:rsidR="00000000" w:rsidDel="00000000" w:rsidP="00000000" w:rsidRDefault="00000000" w:rsidRPr="00000000" w14:paraId="0000004B">
      <w:pPr>
        <w:pBdr>
          <w:top w:color="auto" w:space="0" w:sz="0" w:val="none"/>
          <w:bottom w:color="auto" w:space="0" w:sz="0" w:val="none"/>
          <w:between w:color="auto" w:space="0" w:sz="0" w:val="none"/>
        </w:pBdr>
        <w:spacing w:after="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5.6. As demais regras de execução, gestão, fiscalização, pagamento, obrigações e sanções aplicáveis aos contratos derivados desta Ata são aquelas definidas no Edital e seus anexos, em especial no Termo de Referência (Anexo I do Edital). </w:t>
      </w:r>
    </w:p>
    <w:p w:rsidR="00000000" w:rsidDel="00000000" w:rsidP="00000000" w:rsidRDefault="00000000" w:rsidRPr="00000000" w14:paraId="0000004C">
      <w:pPr>
        <w:pBdr>
          <w:top w:color="auto" w:space="0" w:sz="0" w:val="none"/>
          <w:bottom w:color="auto" w:space="0" w:sz="0" w:val="none"/>
          <w:between w:color="auto" w:space="0" w:sz="0" w:val="none"/>
        </w:pBdr>
        <w:spacing w:after="0" w:line="276" w:lineRule="auto"/>
        <w:jc w:val="both"/>
        <w:rPr>
          <w:rFonts w:ascii="Calibri" w:cs="Calibri" w:eastAsia="Calibri" w:hAnsi="Calibri"/>
          <w:sz w:val="24"/>
          <w:szCs w:val="24"/>
        </w:rPr>
      </w:pPr>
      <w:r w:rsidDel="00000000" w:rsidR="00000000" w:rsidRPr="00000000">
        <w:rPr>
          <w:rtl w:val="0"/>
        </w:rPr>
      </w:r>
    </w:p>
    <w:tbl>
      <w:tblPr>
        <w:tblStyle w:val="Table8"/>
        <w:tblW w:w="9360.0" w:type="dxa"/>
        <w:jc w:val="left"/>
        <w:tblBorders>
          <w:top w:color="f3f3f3" w:space="0" w:sz="8" w:val="single"/>
          <w:left w:color="f3f3f3" w:space="0" w:sz="8" w:val="single"/>
          <w:bottom w:color="f3f3f3" w:space="0" w:sz="8" w:val="single"/>
          <w:right w:color="f3f3f3" w:space="0" w:sz="8" w:val="single"/>
          <w:insideH w:color="f3f3f3" w:space="0" w:sz="8" w:val="single"/>
          <w:insideV w:color="f3f3f3" w:space="0" w:sz="8" w:val="single"/>
        </w:tblBorders>
        <w:tblLayout w:type="fixed"/>
        <w:tblLook w:val="0600"/>
      </w:tblPr>
      <w:tblGrid>
        <w:gridCol w:w="9360"/>
        <w:tblGridChange w:id="0">
          <w:tblGrid>
            <w:gridCol w:w="9360"/>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4D">
            <w:pPr>
              <w:spacing w:after="0"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CLÁUSULA SEXTA – DA ADESÃO À ATA DE REGISTRO DE PREÇOS POR ÓRGÃOS E ENTES PÚBLICO</w:t>
            </w:r>
            <w:r w:rsidDel="00000000" w:rsidR="00000000" w:rsidRPr="00000000">
              <w:rPr>
                <w:rFonts w:ascii="Calibri" w:cs="Calibri" w:eastAsia="Calibri" w:hAnsi="Calibri"/>
                <w:sz w:val="24"/>
                <w:szCs w:val="24"/>
                <w:rtl w:val="0"/>
              </w:rPr>
              <w:t xml:space="preserve">S</w:t>
            </w:r>
          </w:p>
        </w:tc>
      </w:tr>
    </w:tbl>
    <w:p w:rsidR="00000000" w:rsidDel="00000000" w:rsidP="00000000" w:rsidRDefault="00000000" w:rsidRPr="00000000" w14:paraId="0000004E">
      <w:pPr>
        <w:spacing w:after="200" w:before="200"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F">
      <w:pPr>
        <w:spacing w:after="20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 Não será admitida a adesão por outros órgãos ou entidades ("carona") à presente ata de registro de preços, em conformidade com o Art. 130, § 1º do Decreto Municipal nº 115/2023. </w:t>
      </w:r>
    </w:p>
    <w:p w:rsidR="00000000" w:rsidDel="00000000" w:rsidP="00000000" w:rsidRDefault="00000000" w:rsidRPr="00000000" w14:paraId="00000050">
      <w:pPr>
        <w:spacing w:after="200" w:before="200" w:line="276" w:lineRule="auto"/>
        <w:jc w:val="both"/>
        <w:rPr>
          <w:rFonts w:ascii="Calibri" w:cs="Calibri" w:eastAsia="Calibri" w:hAnsi="Calibri"/>
          <w:sz w:val="24"/>
          <w:szCs w:val="24"/>
        </w:rPr>
      </w:pPr>
      <w:r w:rsidDel="00000000" w:rsidR="00000000" w:rsidRPr="00000000">
        <w:rPr>
          <w:rtl w:val="0"/>
        </w:rPr>
      </w:r>
    </w:p>
    <w:tbl>
      <w:tblPr>
        <w:tblStyle w:val="Table9"/>
        <w:tblW w:w="9360.0" w:type="dxa"/>
        <w:jc w:val="left"/>
        <w:tblBorders>
          <w:top w:color="f3f3f3" w:space="0" w:sz="8" w:val="single"/>
          <w:left w:color="f3f3f3" w:space="0" w:sz="8" w:val="single"/>
          <w:bottom w:color="f3f3f3" w:space="0" w:sz="8" w:val="single"/>
          <w:right w:color="f3f3f3" w:space="0" w:sz="8" w:val="single"/>
          <w:insideH w:color="f3f3f3" w:space="0" w:sz="8" w:val="single"/>
          <w:insideV w:color="f3f3f3" w:space="0" w:sz="8" w:val="single"/>
        </w:tblBorders>
        <w:tblLayout w:type="fixed"/>
        <w:tblLook w:val="0600"/>
      </w:tblPr>
      <w:tblGrid>
        <w:gridCol w:w="9360"/>
        <w:tblGridChange w:id="0">
          <w:tblGrid>
            <w:gridCol w:w="9360"/>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51">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CLÁUSULA SÉTIMA – POSSIBILIDADE DE INGRESSO E SAÍDA VOLUNTÁRIA DE FORNECEDORES DO REGISTRO DE PREÇOS </w:t>
            </w:r>
          </w:p>
        </w:tc>
      </w:tr>
    </w:tbl>
    <w:p w:rsidR="00000000" w:rsidDel="00000000" w:rsidP="00000000" w:rsidRDefault="00000000" w:rsidRPr="00000000" w14:paraId="00000052">
      <w:pPr>
        <w:spacing w:after="0"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3">
      <w:pPr>
        <w:pBdr>
          <w:top w:color="auto" w:space="0" w:sz="0" w:val="none"/>
          <w:bottom w:color="auto" w:space="0" w:sz="0" w:val="none"/>
          <w:between w:color="auto" w:space="0" w:sz="0" w:val="none"/>
        </w:pBdr>
        <w:spacing w:after="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7.1. Será permitido o ingresso de novos Fornecedores a esta ata de registro de preços, durante sua vigência, observando-se o seguinte: </w:t>
      </w:r>
    </w:p>
    <w:p w:rsidR="00000000" w:rsidDel="00000000" w:rsidP="00000000" w:rsidRDefault="00000000" w:rsidRPr="00000000" w14:paraId="00000054">
      <w:pPr>
        <w:pBdr>
          <w:top w:color="auto" w:space="0" w:sz="0" w:val="none"/>
          <w:bottom w:color="auto" w:space="0" w:sz="0" w:val="none"/>
          <w:between w:color="auto" w:space="0" w:sz="0" w:val="none"/>
        </w:pBdr>
        <w:spacing w:after="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7.1.1. O ingresso será realizado depois que o fornecedor interessado realize pedido por meio de protocolo à Administração, acompanhado da sua proposta e dos documentos de habilitação exigidos no Edital que originou esta Ata. </w:t>
      </w:r>
    </w:p>
    <w:p w:rsidR="00000000" w:rsidDel="00000000" w:rsidP="00000000" w:rsidRDefault="00000000" w:rsidRPr="00000000" w14:paraId="00000055">
      <w:pPr>
        <w:pBdr>
          <w:top w:color="auto" w:space="0" w:sz="0" w:val="none"/>
          <w:bottom w:color="auto" w:space="0" w:sz="0" w:val="none"/>
          <w:between w:color="auto" w:space="0" w:sz="0" w:val="none"/>
        </w:pBdr>
        <w:spacing w:after="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7.1.2. O Agente de Contratação e equipe de apoio julgará o pedido de inclusão em até 10 (dez) dias úteis, após análise da documentação e eventual negociação de preços para adequação aos valores registrados ou de mercado, abrindo prazo de 3 (três) dias úteis, contados da data de divulgação da decisão, para interposição de recurso e contrarrazões em igual prazo. [source: 158, adapted]</w:t>
      </w:r>
    </w:p>
    <w:p w:rsidR="00000000" w:rsidDel="00000000" w:rsidP="00000000" w:rsidRDefault="00000000" w:rsidRPr="00000000" w14:paraId="00000056">
      <w:pPr>
        <w:pBdr>
          <w:top w:color="auto" w:space="0" w:sz="0" w:val="none"/>
          <w:bottom w:color="auto" w:space="0" w:sz="0" w:val="none"/>
          <w:between w:color="auto" w:space="0" w:sz="0" w:val="none"/>
        </w:pBdr>
        <w:spacing w:after="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7.1.3. Os novos fornecedores habilitados serão registrados ao final da lista existente no cadastro de reserva, mantendo seus próprios preços (após negociação, se houver) e respeitando a ordem de chamada original do cadastro de reserva.</w:t>
      </w:r>
    </w:p>
    <w:p w:rsidR="00000000" w:rsidDel="00000000" w:rsidP="00000000" w:rsidRDefault="00000000" w:rsidRPr="00000000" w14:paraId="00000057">
      <w:pPr>
        <w:pBdr>
          <w:top w:color="auto" w:space="0" w:sz="0" w:val="none"/>
          <w:bottom w:color="auto" w:space="0" w:sz="0" w:val="none"/>
          <w:between w:color="auto" w:space="0" w:sz="0" w:val="none"/>
        </w:pBdr>
        <w:spacing w:after="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7.2. O fornecedor registrado (inclusive os do cadastro de reserva inicial ou ingressantes) poderá pedir a sua exclusão da ata de registro de preços, desde que decorridos 60 (sessenta) dias do ingresso no sistema de registro de preços, observadas as seguintes condições:</w:t>
      </w:r>
    </w:p>
    <w:p w:rsidR="00000000" w:rsidDel="00000000" w:rsidP="00000000" w:rsidRDefault="00000000" w:rsidRPr="00000000" w14:paraId="00000058">
      <w:pPr>
        <w:pBdr>
          <w:top w:color="auto" w:space="0" w:sz="0" w:val="none"/>
          <w:bottom w:color="auto" w:space="0" w:sz="0" w:val="none"/>
          <w:between w:color="auto" w:space="0" w:sz="0" w:val="none"/>
        </w:pBdr>
        <w:spacing w:after="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7.2.1. A faculdade de exclusão somente poderá ser utilizada quando existirem, no mínimo, 05 (cinco) fornecedores com preços registrados para determinado item, incluindo o solicitante. </w:t>
      </w:r>
    </w:p>
    <w:p w:rsidR="00000000" w:rsidDel="00000000" w:rsidP="00000000" w:rsidRDefault="00000000" w:rsidRPr="00000000" w14:paraId="00000059">
      <w:pPr>
        <w:pBdr>
          <w:top w:color="auto" w:space="0" w:sz="0" w:val="none"/>
          <w:bottom w:color="auto" w:space="0" w:sz="0" w:val="none"/>
          <w:between w:color="auto" w:space="0" w:sz="0" w:val="none"/>
        </w:pBdr>
        <w:spacing w:after="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7.2.2. As solicitações de exclusão do registro de preços somente terão validade para os pedidos futuros (novas contratações), sendo obrigação do fornecedor honrar os contratos ou instrumentos equivalentes já formalizados até a data do protocolo do pedido de exclusão.</w:t>
      </w:r>
    </w:p>
    <w:p w:rsidR="00000000" w:rsidDel="00000000" w:rsidP="00000000" w:rsidRDefault="00000000" w:rsidRPr="00000000" w14:paraId="0000005A">
      <w:pPr>
        <w:pBdr>
          <w:top w:color="auto" w:space="0" w:sz="0" w:val="none"/>
          <w:bottom w:color="auto" w:space="0" w:sz="0" w:val="none"/>
          <w:between w:color="auto" w:space="0" w:sz="0" w:val="none"/>
        </w:pBd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7.2.3. O pedido do fornecedor de sua exclusão da ata de registro de preços surtirá efeitos a partir do seu protocolo. </w:t>
      </w:r>
    </w:p>
    <w:tbl>
      <w:tblPr>
        <w:tblStyle w:val="Table10"/>
        <w:tblW w:w="9360.0" w:type="dxa"/>
        <w:jc w:val="left"/>
        <w:tblBorders>
          <w:top w:color="f3f3f3" w:space="0" w:sz="8" w:val="single"/>
          <w:left w:color="f3f3f3" w:space="0" w:sz="8" w:val="single"/>
          <w:bottom w:color="f3f3f3" w:space="0" w:sz="8" w:val="single"/>
          <w:right w:color="f3f3f3" w:space="0" w:sz="8" w:val="single"/>
          <w:insideH w:color="f3f3f3" w:space="0" w:sz="8" w:val="single"/>
          <w:insideV w:color="f3f3f3" w:space="0" w:sz="8" w:val="single"/>
        </w:tblBorders>
        <w:tblLayout w:type="fixed"/>
        <w:tblLook w:val="0600"/>
      </w:tblPr>
      <w:tblGrid>
        <w:gridCol w:w="9360"/>
        <w:tblGridChange w:id="0">
          <w:tblGrid>
            <w:gridCol w:w="9360"/>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5B">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CLÁUSULA OITAVA – EXCLUSÃO DE FORNECEDOR DO REGISTRO PELA ADMINISTRAÇÃO PÚBLICA</w:t>
            </w:r>
          </w:p>
        </w:tc>
      </w:tr>
    </w:tbl>
    <w:p w:rsidR="00000000" w:rsidDel="00000000" w:rsidP="00000000" w:rsidRDefault="00000000" w:rsidRPr="00000000" w14:paraId="0000005C">
      <w:pPr>
        <w:pBdr>
          <w:top w:color="auto" w:space="0" w:sz="0" w:val="none"/>
          <w:bottom w:color="auto" w:space="0" w:sz="0" w:val="none"/>
          <w:between w:color="auto" w:space="0" w:sz="0" w:val="none"/>
        </w:pBdr>
        <w:spacing w:after="0"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D">
      <w:pPr>
        <w:pBdr>
          <w:top w:color="auto" w:space="0" w:sz="0" w:val="none"/>
          <w:bottom w:color="auto" w:space="0" w:sz="0" w:val="none"/>
          <w:between w:color="auto" w:space="0" w:sz="0" w:val="none"/>
        </w:pBdr>
        <w:spacing w:after="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8.1. Hipóteses de Exclusão: O fornecedor poderá ser excluído da ata de registro de preços, nos termos do art. 131 do Decreto Municipal nº 115/2023, garantido o contraditório e a ampla defesa, quando: </w:t>
      </w:r>
    </w:p>
    <w:p w:rsidR="00000000" w:rsidDel="00000000" w:rsidP="00000000" w:rsidRDefault="00000000" w:rsidRPr="00000000" w14:paraId="0000005E">
      <w:pPr>
        <w:pBdr>
          <w:top w:color="auto" w:space="0" w:sz="0" w:val="none"/>
          <w:bottom w:color="auto" w:space="0" w:sz="0" w:val="none"/>
          <w:between w:color="auto" w:space="0" w:sz="0" w:val="none"/>
        </w:pBdr>
        <w:spacing w:after="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8.1.1. Descumprir as condições da ata de registro de preços ou dos contratos dela derivados, sem motivo justificado; </w:t>
      </w:r>
    </w:p>
    <w:p w:rsidR="00000000" w:rsidDel="00000000" w:rsidP="00000000" w:rsidRDefault="00000000" w:rsidRPr="00000000" w14:paraId="0000005F">
      <w:pPr>
        <w:pBdr>
          <w:top w:color="auto" w:space="0" w:sz="0" w:val="none"/>
          <w:bottom w:color="auto" w:space="0" w:sz="0" w:val="none"/>
          <w:between w:color="auto" w:space="0" w:sz="0" w:val="none"/>
        </w:pBdr>
        <w:spacing w:after="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8.1.2. Não retirar a nota de empenho, ou instrumento equivalente, ou não assinar o termo de contrato derivado, no prazo estabelecido pela Administração, sem justificativa aceita; </w:t>
      </w:r>
    </w:p>
    <w:p w:rsidR="00000000" w:rsidDel="00000000" w:rsidP="00000000" w:rsidRDefault="00000000" w:rsidRPr="00000000" w14:paraId="00000060">
      <w:pPr>
        <w:pBdr>
          <w:top w:color="auto" w:space="0" w:sz="0" w:val="none"/>
          <w:bottom w:color="auto" w:space="0" w:sz="0" w:val="none"/>
          <w:between w:color="auto" w:space="0" w:sz="0" w:val="none"/>
        </w:pBdr>
        <w:spacing w:after="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8.1.3. Sofrer as sanções de impedimento de licitar e contratar ou de declaração de inidoneidade para licitar ou contratar com a Administração Pública; </w:t>
      </w:r>
    </w:p>
    <w:p w:rsidR="00000000" w:rsidDel="00000000" w:rsidP="00000000" w:rsidRDefault="00000000" w:rsidRPr="00000000" w14:paraId="00000061">
      <w:pPr>
        <w:pBdr>
          <w:top w:color="auto" w:space="0" w:sz="0" w:val="none"/>
          <w:bottom w:color="auto" w:space="0" w:sz="0" w:val="none"/>
          <w:between w:color="auto" w:space="0" w:sz="0" w:val="none"/>
        </w:pBdr>
        <w:spacing w:after="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8.1.4. Ocorrer fato superveniente, decorrente de caso fortuito ou força maior, que prejudique o cumprimento da ata ou dos contratos derivados, devidamente comprovado e justificado; ou</w:t>
      </w:r>
    </w:p>
    <w:p w:rsidR="00000000" w:rsidDel="00000000" w:rsidP="00000000" w:rsidRDefault="00000000" w:rsidRPr="00000000" w14:paraId="00000062">
      <w:pPr>
        <w:pBdr>
          <w:top w:color="auto" w:space="0" w:sz="0" w:val="none"/>
          <w:bottom w:color="auto" w:space="0" w:sz="0" w:val="none"/>
          <w:between w:color="auto" w:space="0" w:sz="0" w:val="none"/>
        </w:pBdr>
        <w:spacing w:after="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8.1.5. Houver razão de interesse público, devidamente motivada pela Administração. </w:t>
      </w:r>
    </w:p>
    <w:p w:rsidR="00000000" w:rsidDel="00000000" w:rsidP="00000000" w:rsidRDefault="00000000" w:rsidRPr="00000000" w14:paraId="00000063">
      <w:pPr>
        <w:pBdr>
          <w:top w:color="auto" w:space="0" w:sz="0" w:val="none"/>
          <w:bottom w:color="auto" w:space="0" w:sz="0" w:val="none"/>
          <w:between w:color="auto" w:space="0" w:sz="0" w:val="none"/>
        </w:pBdr>
        <w:spacing w:after="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8.2. Formalização: A exclusão ou cancelamento do registro do fornecedor será formalizada por despacho fundamentado da autoridade competente e terá efeito após a devida notificação ao fornecedor e divulgação no PNCP e no sítio eletrônico oficial do Município. [source: 170, revised numbering and content]</w:t>
      </w:r>
    </w:p>
    <w:p w:rsidR="00000000" w:rsidDel="00000000" w:rsidP="00000000" w:rsidRDefault="00000000" w:rsidRPr="00000000" w14:paraId="00000064">
      <w:pPr>
        <w:pBdr>
          <w:top w:color="auto" w:space="0" w:sz="0" w:val="none"/>
          <w:bottom w:color="auto" w:space="0" w:sz="0" w:val="none"/>
          <w:between w:color="auto" w:space="0" w:sz="0" w:val="none"/>
        </w:pBdr>
        <w:spacing w:after="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8.3. Consequência: Na hipótese de exclusão de fornecedor, o município poderá convocar os licitantes que compõem o cadastro de reserva, observada a ordem de classificação definida na Cláusula Quarta. </w:t>
      </w:r>
    </w:p>
    <w:p w:rsidR="00000000" w:rsidDel="00000000" w:rsidP="00000000" w:rsidRDefault="00000000" w:rsidRPr="00000000" w14:paraId="00000065">
      <w:pPr>
        <w:pBdr>
          <w:top w:color="auto" w:space="0" w:sz="0" w:val="none"/>
          <w:bottom w:color="auto" w:space="0" w:sz="0" w:val="none"/>
          <w:between w:color="auto" w:space="0" w:sz="0" w:val="none"/>
        </w:pBdr>
        <w:spacing w:after="0" w:line="276" w:lineRule="auto"/>
        <w:jc w:val="both"/>
        <w:rPr>
          <w:rFonts w:ascii="Calibri" w:cs="Calibri" w:eastAsia="Calibri" w:hAnsi="Calibri"/>
          <w:sz w:val="24"/>
          <w:szCs w:val="24"/>
        </w:rPr>
      </w:pPr>
      <w:r w:rsidDel="00000000" w:rsidR="00000000" w:rsidRPr="00000000">
        <w:rPr>
          <w:rtl w:val="0"/>
        </w:rPr>
      </w:r>
    </w:p>
    <w:tbl>
      <w:tblPr>
        <w:tblStyle w:val="Table11"/>
        <w:tblW w:w="9360.0" w:type="dxa"/>
        <w:jc w:val="left"/>
        <w:tblBorders>
          <w:top w:color="f3f3f3" w:space="0" w:sz="8" w:val="single"/>
          <w:left w:color="f3f3f3" w:space="0" w:sz="8" w:val="single"/>
          <w:bottom w:color="f3f3f3" w:space="0" w:sz="8" w:val="single"/>
          <w:right w:color="f3f3f3" w:space="0" w:sz="8" w:val="single"/>
          <w:insideH w:color="f3f3f3" w:space="0" w:sz="8" w:val="single"/>
          <w:insideV w:color="f3f3f3" w:space="0" w:sz="8" w:val="single"/>
        </w:tblBorders>
        <w:tblLayout w:type="fixed"/>
        <w:tblLook w:val="0600"/>
      </w:tblPr>
      <w:tblGrid>
        <w:gridCol w:w="9360"/>
        <w:tblGridChange w:id="0">
          <w:tblGrid>
            <w:gridCol w:w="9360"/>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66">
            <w:pPr>
              <w:spacing w:after="0"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CLÁUSULA NONA – ALTERAÇÃO DE MARCA PELO FORNECEDOR </w:t>
            </w:r>
          </w:p>
        </w:tc>
      </w:tr>
    </w:tbl>
    <w:p w:rsidR="00000000" w:rsidDel="00000000" w:rsidP="00000000" w:rsidRDefault="00000000" w:rsidRPr="00000000" w14:paraId="00000067">
      <w:pPr>
        <w:pBdr>
          <w:top w:color="auto" w:space="0" w:sz="0" w:val="none"/>
          <w:bottom w:color="auto" w:space="0" w:sz="0" w:val="none"/>
          <w:between w:color="auto" w:space="0" w:sz="0" w:val="none"/>
        </w:pBdr>
        <w:spacing w:after="0"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8">
      <w:pPr>
        <w:pBdr>
          <w:top w:color="auto" w:space="0" w:sz="0" w:val="none"/>
          <w:bottom w:color="auto" w:space="0" w:sz="0" w:val="none"/>
          <w:between w:color="auto" w:space="0" w:sz="0" w:val="none"/>
        </w:pBdr>
        <w:spacing w:after="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9.1. Será admitida a alteração da marca do produto registrado pelo fornecedor durante a vigência da Ata, mediante solicitação formal e aprovação prévia da Administração, sempre que a nova marca indicada cumprir os requisitos de qualidade e desempenho previstos na cláusula 6ª e 7ª do Termo de Referência, e não implicar em redução da qualidade ou funcionalidade do produto, nem em aumento do preço registrado.</w:t>
      </w:r>
    </w:p>
    <w:p w:rsidR="00000000" w:rsidDel="00000000" w:rsidP="00000000" w:rsidRDefault="00000000" w:rsidRPr="00000000" w14:paraId="00000069">
      <w:pPr>
        <w:pBdr>
          <w:top w:color="auto" w:space="0" w:sz="0" w:val="none"/>
          <w:bottom w:color="auto" w:space="0" w:sz="0" w:val="none"/>
          <w:between w:color="auto" w:space="0" w:sz="0" w:val="none"/>
        </w:pBdr>
        <w:spacing w:after="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9.1.1. Nos casos de licitações exclusivas para bens pré-qualificados, o fornecedor poderá apresentar marca aprovada no procedimento de pré-qualificação, ainda que a inclusão tenha ocorrido posteriormente à realização do processo licitatório.</w:t>
      </w:r>
    </w:p>
    <w:p w:rsidR="00000000" w:rsidDel="00000000" w:rsidP="00000000" w:rsidRDefault="00000000" w:rsidRPr="00000000" w14:paraId="0000006A">
      <w:pPr>
        <w:pBdr>
          <w:top w:color="auto" w:space="0" w:sz="0" w:val="none"/>
          <w:bottom w:color="auto" w:space="0" w:sz="0" w:val="none"/>
          <w:between w:color="auto" w:space="0" w:sz="0" w:val="none"/>
        </w:pBdr>
        <w:spacing w:after="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9.1.2. Nos processos de contratação que envolveram análises complexas de amostras, a alteração de marca somente ocorrerá para as aquisições realizadas após a aprovação da amostra da nova marca pela Administração.</w:t>
      </w:r>
    </w:p>
    <w:p w:rsidR="00000000" w:rsidDel="00000000" w:rsidP="00000000" w:rsidRDefault="00000000" w:rsidRPr="00000000" w14:paraId="0000006B">
      <w:pPr>
        <w:pBdr>
          <w:top w:color="auto" w:space="0" w:sz="0" w:val="none"/>
          <w:bottom w:color="auto" w:space="0" w:sz="0" w:val="none"/>
          <w:between w:color="auto" w:space="0" w:sz="0" w:val="none"/>
        </w:pBd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9.1.3. Fica excluída da possibilidade de alteração de marca, o certame que indicar expressamente no Termo de Referência a necessidade de padronização da mesma marca ou modelo, com a devida justificativa.</w:t>
      </w:r>
    </w:p>
    <w:tbl>
      <w:tblPr>
        <w:tblStyle w:val="Table12"/>
        <w:tblW w:w="9360.0" w:type="dxa"/>
        <w:jc w:val="left"/>
        <w:tblBorders>
          <w:top w:color="f3f3f3" w:space="0" w:sz="8" w:val="single"/>
          <w:left w:color="f3f3f3" w:space="0" w:sz="8" w:val="single"/>
          <w:bottom w:color="f3f3f3" w:space="0" w:sz="8" w:val="single"/>
          <w:right w:color="f3f3f3" w:space="0" w:sz="8" w:val="single"/>
          <w:insideH w:color="f3f3f3" w:space="0" w:sz="8" w:val="single"/>
          <w:insideV w:color="f3f3f3" w:space="0" w:sz="8" w:val="single"/>
        </w:tblBorders>
        <w:tblLayout w:type="fixed"/>
        <w:tblLook w:val="0600"/>
      </w:tblPr>
      <w:tblGrid>
        <w:gridCol w:w="9360"/>
        <w:tblGridChange w:id="0">
          <w:tblGrid>
            <w:gridCol w:w="9360"/>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6C">
            <w:pPr>
              <w:spacing w:after="0"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CLÁUSULA DÉCIMA – VALIDADE DA ATA DE REGISTRO DE PREÇOS</w:t>
            </w:r>
          </w:p>
        </w:tc>
      </w:tr>
    </w:tbl>
    <w:p w:rsidR="00000000" w:rsidDel="00000000" w:rsidP="00000000" w:rsidRDefault="00000000" w:rsidRPr="00000000" w14:paraId="0000006D">
      <w:pPr>
        <w:pBdr>
          <w:top w:color="auto" w:space="0" w:sz="0" w:val="none"/>
          <w:bottom w:color="auto" w:space="0" w:sz="0" w:val="none"/>
          <w:between w:color="auto" w:space="0" w:sz="0" w:val="none"/>
        </w:pBdr>
        <w:spacing w:after="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10.1. A validade da Ata de Registro de Preços será de 12 (doze) meses, contados a partir da data de sua assinatura [ou publicação no PNCP, o que ocorrer por último], podendo ser prorrogada por igual período, uma única vez, desde que comprovado que o preço permanece vantajoso por meio de pesquisa de mercado atualizada (conforme Art. 23 da Lei 14.133/2021 e Arts. 26 a 28 do Decreto Municipal 115/2023). </w:t>
      </w:r>
    </w:p>
    <w:p w:rsidR="00000000" w:rsidDel="00000000" w:rsidP="00000000" w:rsidRDefault="00000000" w:rsidRPr="00000000" w14:paraId="0000006E">
      <w:pPr>
        <w:pBdr>
          <w:top w:color="auto" w:space="0" w:sz="0" w:val="none"/>
          <w:bottom w:color="auto" w:space="0" w:sz="0" w:val="none"/>
          <w:between w:color="auto" w:space="0" w:sz="0" w:val="none"/>
        </w:pBdr>
        <w:spacing w:after="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10.2. A prorrogação da Ata de Registro de Preços restituirá o seu quantitativo máximo inicial para o novo período, sem que ocorra a acumulação de saldos não utilizados com os novos quantitativos, consoante indica o §2º do artigo 122 do Decreto Municipal 115/2023.</w:t>
      </w:r>
    </w:p>
    <w:p w:rsidR="00000000" w:rsidDel="00000000" w:rsidP="00000000" w:rsidRDefault="00000000" w:rsidRPr="00000000" w14:paraId="0000006F">
      <w:pPr>
        <w:pBdr>
          <w:top w:color="auto" w:space="0" w:sz="0" w:val="none"/>
          <w:bottom w:color="auto" w:space="0" w:sz="0" w:val="none"/>
          <w:between w:color="auto" w:space="0" w:sz="0" w:val="none"/>
        </w:pBdr>
        <w:spacing w:after="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10.3. Esgotados os quantitativos registrados antes do término do prazo de vigência inicial, e havendo interesse da Administração, a prorrogação prevista no item 10.1 poderá ser antecipada, com o restabelecimento do quantitativo inicial para o novo período de 12 meses (conforme §3º do Art. 122 do Decreto Municipal 115/2023). </w:t>
      </w:r>
    </w:p>
    <w:p w:rsidR="00000000" w:rsidDel="00000000" w:rsidP="00000000" w:rsidRDefault="00000000" w:rsidRPr="00000000" w14:paraId="00000070">
      <w:pPr>
        <w:pBdr>
          <w:top w:color="auto" w:space="0" w:sz="0" w:val="none"/>
          <w:bottom w:color="auto" w:space="0" w:sz="0" w:val="none"/>
          <w:between w:color="auto" w:space="0" w:sz="0" w:val="none"/>
        </w:pBd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10.4. Os fornecedores registrados não têm direito subjetivo à prorrogação da Ata, sendo esta uma faculdade da Administração, condicionada à vantajosidade e ao interesse público. </w:t>
      </w:r>
    </w:p>
    <w:tbl>
      <w:tblPr>
        <w:tblStyle w:val="Table13"/>
        <w:tblW w:w="9360.0" w:type="dxa"/>
        <w:jc w:val="left"/>
        <w:tblBorders>
          <w:top w:color="f3f3f3" w:space="0" w:sz="8" w:val="single"/>
          <w:left w:color="f3f3f3" w:space="0" w:sz="8" w:val="single"/>
          <w:bottom w:color="f3f3f3" w:space="0" w:sz="8" w:val="single"/>
          <w:right w:color="f3f3f3" w:space="0" w:sz="8" w:val="single"/>
          <w:insideH w:color="f3f3f3" w:space="0" w:sz="8" w:val="single"/>
          <w:insideV w:color="f3f3f3" w:space="0" w:sz="8" w:val="single"/>
        </w:tblBorders>
        <w:tblLayout w:type="fixed"/>
        <w:tblLook w:val="0600"/>
      </w:tblPr>
      <w:tblGrid>
        <w:gridCol w:w="9360"/>
        <w:tblGridChange w:id="0">
          <w:tblGrid>
            <w:gridCol w:w="9360"/>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71">
            <w:pPr>
              <w:spacing w:after="0"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CLÁUSULA DÉCIMA PRIMEIRA – INFRAÇÕES E SANÇÕES </w:t>
            </w:r>
          </w:p>
        </w:tc>
      </w:tr>
    </w:tbl>
    <w:p w:rsidR="00000000" w:rsidDel="00000000" w:rsidP="00000000" w:rsidRDefault="00000000" w:rsidRPr="00000000" w14:paraId="00000072">
      <w:pPr>
        <w:spacing w:after="240"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11.1. Os fornecedores registrados, inclusive aqueles que estão registrados no Cadastro de Reserva (Anexos I e II) ou que ingressaram posteriormente (Cláusula Sétima), estão sujeitos às infrações e sanções administrativas previstas na Lei nº 14.133/2021, no Decreto Municipal nº 115/2023 e detalhadas na Cláusula 15ª do Termo de Referência e na Cláusula [14ª - Verificar número no Edital Final] do Edital que originou esta Ata, aplicáveis tanto por falhas no cumprimento da Ata quanto dos contratos dela derivados.</w:t>
      </w:r>
    </w:p>
    <w:tbl>
      <w:tblPr>
        <w:tblStyle w:val="Table14"/>
        <w:tblW w:w="9360.0" w:type="dxa"/>
        <w:jc w:val="left"/>
        <w:tblBorders>
          <w:top w:color="f3f3f3" w:space="0" w:sz="8" w:val="single"/>
          <w:left w:color="f3f3f3" w:space="0" w:sz="8" w:val="single"/>
          <w:bottom w:color="f3f3f3" w:space="0" w:sz="8" w:val="single"/>
          <w:right w:color="f3f3f3" w:space="0" w:sz="8" w:val="single"/>
          <w:insideH w:color="f3f3f3" w:space="0" w:sz="8" w:val="single"/>
          <w:insideV w:color="f3f3f3" w:space="0" w:sz="8" w:val="single"/>
        </w:tblBorders>
        <w:tblLayout w:type="fixed"/>
        <w:tblLook w:val="0600"/>
      </w:tblPr>
      <w:tblGrid>
        <w:gridCol w:w="9360"/>
        <w:tblGridChange w:id="0">
          <w:tblGrid>
            <w:gridCol w:w="9360"/>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73">
            <w:pPr>
              <w:spacing w:after="0"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CLÁUSULA DÉCIMA SEGUNDA – CONDIÇÕES GERAIS </w:t>
            </w:r>
          </w:p>
        </w:tc>
      </w:tr>
    </w:tbl>
    <w:p w:rsidR="00000000" w:rsidDel="00000000" w:rsidP="00000000" w:rsidRDefault="00000000" w:rsidRPr="00000000" w14:paraId="00000074">
      <w:pPr>
        <w:pBdr>
          <w:top w:color="auto" w:space="0" w:sz="0" w:val="none"/>
          <w:bottom w:color="auto" w:space="0" w:sz="0" w:val="none"/>
          <w:between w:color="auto" w:space="0" w:sz="0" w:val="none"/>
        </w:pBdr>
        <w:spacing w:after="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12.1. Fica eleito o Foro da Comarca de São Miguel do Iguaçu, Estado do Paraná, para dirimir os litígios que decorrerem da execução desta Ata de Registro de Preços e dos contratos dela derivados, que não puderem ser solucionados administrativamente, conforme art. 92, §1º da Lei nº 14.133/21. </w:t>
      </w:r>
    </w:p>
    <w:p w:rsidR="00000000" w:rsidDel="00000000" w:rsidP="00000000" w:rsidRDefault="00000000" w:rsidRPr="00000000" w14:paraId="00000075">
      <w:pPr>
        <w:pBdr>
          <w:top w:color="auto" w:space="0" w:sz="0" w:val="none"/>
          <w:bottom w:color="auto" w:space="0" w:sz="0" w:val="none"/>
          <w:between w:color="auto" w:space="0" w:sz="0" w:val="none"/>
        </w:pBdr>
        <w:spacing w:after="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12.2. Para firmeza e validade do pactuado, a presente Ata foi lavrada em formato digital, devendo as partes promoverem assinatura eletrônica qualificada por meio de certificado digital padrão ICP-Brasil, nos termos da Lei nº 14.063/2020 e do Decreto Municipal nº 460/2024. </w:t>
      </w:r>
    </w:p>
    <w:p w:rsidR="00000000" w:rsidDel="00000000" w:rsidP="00000000" w:rsidRDefault="00000000" w:rsidRPr="00000000" w14:paraId="00000076">
      <w:pPr>
        <w:pBdr>
          <w:top w:color="auto" w:space="0" w:sz="0" w:val="none"/>
          <w:bottom w:color="auto" w:space="0" w:sz="0" w:val="none"/>
          <w:between w:color="auto" w:space="0" w:sz="0" w:val="none"/>
        </w:pBdr>
        <w:spacing w:after="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São Miguel do Iguaçu-PR, __ de ________ de 202X. </w:t>
      </w:r>
    </w:p>
    <w:p w:rsidR="00000000" w:rsidDel="00000000" w:rsidP="00000000" w:rsidRDefault="00000000" w:rsidRPr="00000000" w14:paraId="00000077">
      <w:pPr>
        <w:spacing w:after="240" w:line="276" w:lineRule="auto"/>
        <w:jc w:val="both"/>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(Assinatura Eletrônica via Plataforma Oficial / ICP-Brasil)</w:t>
      </w:r>
    </w:p>
    <w:p w:rsidR="00000000" w:rsidDel="00000000" w:rsidP="00000000" w:rsidRDefault="00000000" w:rsidRPr="00000000" w14:paraId="00000078">
      <w:pPr>
        <w:spacing w:line="276" w:lineRule="auto"/>
        <w:jc w:val="both"/>
        <w:rPr>
          <w:rFonts w:ascii="Calibri" w:cs="Calibri" w:eastAsia="Calibri" w:hAnsi="Calibri"/>
          <w:color w:val="ff0000"/>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9">
      <w:pPr>
        <w:pBdr>
          <w:top w:color="auto" w:space="0" w:sz="0" w:val="none"/>
          <w:bottom w:color="auto" w:space="0" w:sz="0" w:val="none"/>
          <w:between w:color="auto" w:space="0" w:sz="0" w:val="none"/>
        </w:pBdr>
        <w:spacing w:after="240" w:line="276" w:lineRule="auto"/>
        <w:jc w:val="both"/>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[Nome do Representante Legal do Fornecedor Vencedor]</w:t>
      </w:r>
    </w:p>
    <w:p w:rsidR="00000000" w:rsidDel="00000000" w:rsidP="00000000" w:rsidRDefault="00000000" w:rsidRPr="00000000" w14:paraId="0000007A">
      <w:pPr>
        <w:pBdr>
          <w:top w:color="auto" w:space="0" w:sz="0" w:val="none"/>
          <w:bottom w:color="auto" w:space="0" w:sz="0" w:val="none"/>
          <w:between w:color="auto" w:space="0" w:sz="0" w:val="none"/>
        </w:pBdr>
        <w:spacing w:after="240" w:line="276" w:lineRule="auto"/>
        <w:jc w:val="both"/>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[Cargo]</w:t>
      </w:r>
    </w:p>
    <w:p w:rsidR="00000000" w:rsidDel="00000000" w:rsidP="00000000" w:rsidRDefault="00000000" w:rsidRPr="00000000" w14:paraId="0000007B">
      <w:pPr>
        <w:pBdr>
          <w:top w:color="auto" w:space="0" w:sz="0" w:val="none"/>
          <w:bottom w:color="auto" w:space="0" w:sz="0" w:val="none"/>
          <w:between w:color="auto" w:space="0" w:sz="0" w:val="none"/>
        </w:pBdr>
        <w:spacing w:after="240" w:line="276" w:lineRule="auto"/>
        <w:jc w:val="both"/>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[Nome da Empresa Vencedora] - CNPJ: XX.XXX.XXX/XXXX-XX</w:t>
      </w:r>
    </w:p>
    <w:p w:rsidR="00000000" w:rsidDel="00000000" w:rsidP="00000000" w:rsidRDefault="00000000" w:rsidRPr="00000000" w14:paraId="0000007C">
      <w:pPr>
        <w:pBdr>
          <w:top w:color="auto" w:space="0" w:sz="0" w:val="none"/>
          <w:bottom w:color="auto" w:space="0" w:sz="0" w:val="none"/>
          <w:between w:color="auto" w:space="0" w:sz="0" w:val="none"/>
        </w:pBdr>
        <w:spacing w:after="240" w:line="276" w:lineRule="auto"/>
        <w:jc w:val="both"/>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FORNECEDOR REGISTRADO</w:t>
      </w:r>
    </w:p>
    <w:p w:rsidR="00000000" w:rsidDel="00000000" w:rsidP="00000000" w:rsidRDefault="00000000" w:rsidRPr="00000000" w14:paraId="0000007D">
      <w:pPr>
        <w:spacing w:after="240" w:line="276" w:lineRule="auto"/>
        <w:jc w:val="both"/>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(Assinatura Eletrônica via Plataforma Oficial / ICP-Brasil)</w:t>
      </w:r>
    </w:p>
    <w:p w:rsidR="00000000" w:rsidDel="00000000" w:rsidP="00000000" w:rsidRDefault="00000000" w:rsidRPr="00000000" w14:paraId="0000007E">
      <w:pPr>
        <w:spacing w:line="276" w:lineRule="auto"/>
        <w:jc w:val="both"/>
        <w:rPr>
          <w:rFonts w:ascii="Calibri" w:cs="Calibri" w:eastAsia="Calibri" w:hAnsi="Calibri"/>
          <w:color w:val="ff0000"/>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F">
      <w:pPr>
        <w:pBdr>
          <w:top w:color="auto" w:space="0" w:sz="0" w:val="none"/>
          <w:bottom w:color="auto" w:space="0" w:sz="0" w:val="none"/>
          <w:between w:color="auto" w:space="0" w:sz="0" w:val="none"/>
        </w:pBdr>
        <w:spacing w:after="240" w:line="276" w:lineRule="auto"/>
        <w:jc w:val="both"/>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[Nome do Secretário Municipal Competente]</w:t>
      </w:r>
    </w:p>
    <w:p w:rsidR="00000000" w:rsidDel="00000000" w:rsidP="00000000" w:rsidRDefault="00000000" w:rsidRPr="00000000" w14:paraId="00000080">
      <w:pPr>
        <w:pBdr>
          <w:top w:color="auto" w:space="0" w:sz="0" w:val="none"/>
          <w:bottom w:color="auto" w:space="0" w:sz="0" w:val="none"/>
          <w:between w:color="auto" w:space="0" w:sz="0" w:val="none"/>
        </w:pBdr>
        <w:spacing w:after="240" w:line="276" w:lineRule="auto"/>
        <w:jc w:val="both"/>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Secretário(a) Municipal de [Definir Secretaria Conforme Normativo Interno ou Delegação Específica]</w:t>
      </w:r>
    </w:p>
    <w:p w:rsidR="00000000" w:rsidDel="00000000" w:rsidP="00000000" w:rsidRDefault="00000000" w:rsidRPr="00000000" w14:paraId="00000081">
      <w:pPr>
        <w:pBdr>
          <w:top w:color="auto" w:space="0" w:sz="0" w:val="none"/>
          <w:bottom w:color="auto" w:space="0" w:sz="0" w:val="none"/>
          <w:between w:color="auto" w:space="0" w:sz="0" w:val="none"/>
        </w:pBdr>
        <w:spacing w:after="240" w:line="276" w:lineRule="auto"/>
        <w:jc w:val="both"/>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MUNICÍPIO DE SÃO MIGUEL DO IGUAÇU - PR</w:t>
      </w:r>
    </w:p>
    <w:p w:rsidR="00000000" w:rsidDel="00000000" w:rsidP="00000000" w:rsidRDefault="00000000" w:rsidRPr="00000000" w14:paraId="00000082">
      <w:pPr>
        <w:spacing w:line="276" w:lineRule="auto"/>
        <w:jc w:val="both"/>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3">
      <w:pPr>
        <w:spacing w:after="240" w:line="276" w:lineRule="auto"/>
        <w:jc w:val="both"/>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4">
      <w:pPr>
        <w:pBdr>
          <w:top w:color="auto" w:space="0" w:sz="0" w:val="none"/>
          <w:bottom w:color="auto" w:space="0" w:sz="0" w:val="none"/>
          <w:between w:color="auto" w:space="0" w:sz="0" w:val="none"/>
        </w:pBdr>
        <w:spacing w:after="240"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Anexo I - Lista 01 do Cadastro Reserva</w:t>
      </w:r>
    </w:p>
    <w:p w:rsidR="00000000" w:rsidDel="00000000" w:rsidP="00000000" w:rsidRDefault="00000000" w:rsidRPr="00000000" w14:paraId="00000085">
      <w:pPr>
        <w:pBdr>
          <w:top w:color="auto" w:space="0" w:sz="0" w:val="none"/>
          <w:bottom w:color="auto" w:space="0" w:sz="0" w:val="none"/>
          <w:between w:color="auto" w:space="0" w:sz="0" w:val="none"/>
        </w:pBdr>
        <w:spacing w:after="240" w:line="276" w:lineRule="auto"/>
        <w:jc w:val="both"/>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(Instrução: Listar abaixo todos os fornecedores que aceitaram cotar os itens com preços iguais ao do adjudicatário, ordenados pela classificação original na licitação. Preencher todos os dados para cada fornecedor.)</w:t>
      </w:r>
    </w:p>
    <w:p w:rsidR="00000000" w:rsidDel="00000000" w:rsidP="00000000" w:rsidRDefault="00000000" w:rsidRPr="00000000" w14:paraId="00000086">
      <w:pPr>
        <w:spacing w:after="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Relação de fornecedores que </w:t>
      </w:r>
      <w:r w:rsidDel="00000000" w:rsidR="00000000" w:rsidRPr="00000000">
        <w:rPr>
          <w:rFonts w:ascii="Calibri" w:cs="Calibri" w:eastAsia="Calibri" w:hAnsi="Calibri"/>
          <w:b w:val="1"/>
          <w:sz w:val="24"/>
          <w:szCs w:val="24"/>
          <w:rtl w:val="0"/>
        </w:rPr>
        <w:t xml:space="preserve">aceitaram cotar os itens com preços iguais ao adjudicatário,</w:t>
      </w:r>
      <w:r w:rsidDel="00000000" w:rsidR="00000000" w:rsidRPr="00000000">
        <w:rPr>
          <w:rFonts w:ascii="Calibri" w:cs="Calibri" w:eastAsia="Calibri" w:hAnsi="Calibri"/>
          <w:sz w:val="24"/>
          <w:szCs w:val="24"/>
          <w:rtl w:val="0"/>
        </w:rPr>
        <w:t xml:space="preserve"> que possuem prioridade na contratação após o vencedor, pela ordem de classificação:</w:t>
      </w:r>
    </w:p>
    <w:p w:rsidR="00000000" w:rsidDel="00000000" w:rsidP="00000000" w:rsidRDefault="00000000" w:rsidRPr="00000000" w14:paraId="00000087">
      <w:pPr>
        <w:spacing w:after="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1º Fornecedor da Lista 01 (Posição no Cadastro de Reserva: 1):</w:t>
      </w:r>
    </w:p>
    <w:tbl>
      <w:tblPr>
        <w:tblStyle w:val="Table15"/>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Nome/Razão Social: [Nome Fornecedor CR1]</w:t>
            </w:r>
          </w:p>
          <w:p w:rsidR="00000000" w:rsidDel="00000000" w:rsidP="00000000" w:rsidRDefault="00000000" w:rsidRPr="00000000" w14:paraId="00000089">
            <w:pP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CNPJ: [CNPJ Fornecedor CR1]</w:t>
            </w:r>
          </w:p>
          <w:p w:rsidR="00000000" w:rsidDel="00000000" w:rsidP="00000000" w:rsidRDefault="00000000" w:rsidRPr="00000000" w14:paraId="0000008A">
            <w:pP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Endereço Completo: [...] Telefone: [...] E-mail: [...]</w:t>
            </w:r>
          </w:p>
          <w:p w:rsidR="00000000" w:rsidDel="00000000" w:rsidP="00000000" w:rsidRDefault="00000000" w:rsidRPr="00000000" w14:paraId="0000008B">
            <w:pP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Representante Legal: [Nome], RG: [...], CPF: [...]</w:t>
            </w:r>
          </w:p>
          <w:p w:rsidR="00000000" w:rsidDel="00000000" w:rsidP="00000000" w:rsidRDefault="00000000" w:rsidRPr="00000000" w14:paraId="0000008C">
            <w:pP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Itens e Condições Registradas</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8E">
      <w:pPr>
        <w:spacing w:after="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2º Fornecedor da Lista 01 (Posição no Cadastro de Reserva: 1):</w:t>
      </w:r>
    </w:p>
    <w:tbl>
      <w:tblPr>
        <w:tblStyle w:val="Table16"/>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Nome/Razão Social: [Nome Fornecedor CR1]</w:t>
            </w:r>
          </w:p>
          <w:p w:rsidR="00000000" w:rsidDel="00000000" w:rsidP="00000000" w:rsidRDefault="00000000" w:rsidRPr="00000000" w14:paraId="00000090">
            <w:pP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CNPJ: [CNPJ Fornecedor CR1]</w:t>
            </w:r>
          </w:p>
          <w:p w:rsidR="00000000" w:rsidDel="00000000" w:rsidP="00000000" w:rsidRDefault="00000000" w:rsidRPr="00000000" w14:paraId="00000091">
            <w:pP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Endereço Completo: [...] Telefone: [...] E-mail: [...]</w:t>
            </w:r>
          </w:p>
          <w:p w:rsidR="00000000" w:rsidDel="00000000" w:rsidP="00000000" w:rsidRDefault="00000000" w:rsidRPr="00000000" w14:paraId="00000092">
            <w:pP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Representante Legal: [Nome], RG: [...], CPF: [...]</w:t>
            </w:r>
          </w:p>
          <w:p w:rsidR="00000000" w:rsidDel="00000000" w:rsidP="00000000" w:rsidRDefault="00000000" w:rsidRPr="00000000" w14:paraId="00000093">
            <w:pPr>
              <w:rPr>
                <w:rFonts w:ascii="Calibri" w:cs="Calibri" w:eastAsia="Calibri" w:hAnsi="Calibri"/>
                <w:sz w:val="24"/>
                <w:szCs w:val="24"/>
              </w:rPr>
            </w:pPr>
            <w:r w:rsidDel="00000000" w:rsidR="00000000" w:rsidRPr="00000000">
              <w:rPr>
                <w:rFonts w:ascii="Calibri" w:cs="Calibri" w:eastAsia="Calibri" w:hAnsi="Calibri"/>
                <w:color w:val="ff0000"/>
                <w:sz w:val="24"/>
                <w:szCs w:val="24"/>
                <w:rtl w:val="0"/>
              </w:rPr>
              <w:t xml:space="preserve">Itens e Condições Registradas</w:t>
            </w:r>
            <w:r w:rsidDel="00000000" w:rsidR="00000000" w:rsidRPr="00000000">
              <w:rPr>
                <w:rtl w:val="0"/>
              </w:rPr>
            </w:r>
          </w:p>
        </w:tc>
      </w:tr>
    </w:tbl>
    <w:p w:rsidR="00000000" w:rsidDel="00000000" w:rsidP="00000000" w:rsidRDefault="00000000" w:rsidRPr="00000000" w14:paraId="00000094">
      <w:pPr>
        <w:spacing w:after="240"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5">
      <w:pPr>
        <w:spacing w:after="240" w:line="276" w:lineRule="auto"/>
        <w:jc w:val="both"/>
        <w:rPr>
          <w:rFonts w:ascii="Calibri" w:cs="Calibri" w:eastAsia="Calibri" w:hAnsi="Calibri"/>
          <w:i w:val="1"/>
          <w:color w:val="ff0000"/>
          <w:sz w:val="24"/>
          <w:szCs w:val="24"/>
        </w:rPr>
      </w:pPr>
      <w:r w:rsidDel="00000000" w:rsidR="00000000" w:rsidRPr="00000000">
        <w:rPr>
          <w:rFonts w:ascii="Calibri" w:cs="Calibri" w:eastAsia="Calibri" w:hAnsi="Calibri"/>
          <w:i w:val="1"/>
          <w:color w:val="ff0000"/>
          <w:sz w:val="24"/>
          <w:szCs w:val="24"/>
          <w:rtl w:val="0"/>
        </w:rPr>
        <w:t xml:space="preserve">(Continuar a lista conforme necessário)</w:t>
      </w:r>
    </w:p>
    <w:p w:rsidR="00000000" w:rsidDel="00000000" w:rsidP="00000000" w:rsidRDefault="00000000" w:rsidRPr="00000000" w14:paraId="00000096">
      <w:pPr>
        <w:spacing w:line="276" w:lineRule="auto"/>
        <w:jc w:val="both"/>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7">
      <w:pPr>
        <w:pBdr>
          <w:top w:color="auto" w:space="0" w:sz="0" w:val="none"/>
          <w:bottom w:color="auto" w:space="0" w:sz="0" w:val="none"/>
          <w:between w:color="auto" w:space="0" w:sz="0" w:val="none"/>
        </w:pBdr>
        <w:spacing w:after="240" w:line="276" w:lineRule="auto"/>
        <w:jc w:val="both"/>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8">
      <w:pPr>
        <w:pBdr>
          <w:top w:color="auto" w:space="0" w:sz="0" w:val="none"/>
          <w:bottom w:color="auto" w:space="0" w:sz="0" w:val="none"/>
          <w:between w:color="auto" w:space="0" w:sz="0" w:val="none"/>
        </w:pBdr>
        <w:spacing w:after="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Anexo II - Lista 02 do Cadastro Reserva</w:t>
      </w:r>
    </w:p>
    <w:p w:rsidR="00000000" w:rsidDel="00000000" w:rsidP="00000000" w:rsidRDefault="00000000" w:rsidRPr="00000000" w14:paraId="00000099">
      <w:pPr>
        <w:pBdr>
          <w:top w:color="auto" w:space="0" w:sz="0" w:val="none"/>
          <w:bottom w:color="auto" w:space="0" w:sz="0" w:val="none"/>
          <w:between w:color="auto" w:space="0" w:sz="0" w:val="none"/>
        </w:pBdr>
        <w:spacing w:after="240" w:line="276" w:lineRule="auto"/>
        <w:jc w:val="both"/>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(Instrução: Listar abaixo todos os fornecedores que mantiveram sua proposta original, ordenados pela classificação original na licitação. Preencher todos os dados para cada fornecedor.)</w:t>
      </w:r>
    </w:p>
    <w:p w:rsidR="00000000" w:rsidDel="00000000" w:rsidP="00000000" w:rsidRDefault="00000000" w:rsidRPr="00000000" w14:paraId="0000009A">
      <w:pPr>
        <w:spacing w:after="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Relação de fornecedores que </w:t>
      </w:r>
      <w:r w:rsidDel="00000000" w:rsidR="00000000" w:rsidRPr="00000000">
        <w:rPr>
          <w:rFonts w:ascii="Calibri" w:cs="Calibri" w:eastAsia="Calibri" w:hAnsi="Calibri"/>
          <w:b w:val="1"/>
          <w:sz w:val="24"/>
          <w:szCs w:val="24"/>
          <w:rtl w:val="0"/>
        </w:rPr>
        <w:t xml:space="preserve">mantiveram sua proposta original,</w:t>
      </w:r>
      <w:r w:rsidDel="00000000" w:rsidR="00000000" w:rsidRPr="00000000">
        <w:rPr>
          <w:rFonts w:ascii="Calibri" w:cs="Calibri" w:eastAsia="Calibri" w:hAnsi="Calibri"/>
          <w:sz w:val="24"/>
          <w:szCs w:val="24"/>
          <w:rtl w:val="0"/>
        </w:rPr>
        <w:t xml:space="preserve"> e que somente poderão ser contratados se inexistir fornecedor na Lista 01 apto a contratar, observada a ordem de classificação e eventual negociação:</w:t>
      </w:r>
    </w:p>
    <w:p w:rsidR="00000000" w:rsidDel="00000000" w:rsidP="00000000" w:rsidRDefault="00000000" w:rsidRPr="00000000" w14:paraId="0000009B">
      <w:pPr>
        <w:numPr>
          <w:ilvl w:val="1"/>
          <w:numId w:val="1"/>
        </w:numPr>
        <w:spacing w:after="240" w:line="276" w:lineRule="auto"/>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1º Fornecedor da Lista 01 (Posição no Cadastro de Reserva: 1):</w:t>
      </w:r>
    </w:p>
    <w:tbl>
      <w:tblPr>
        <w:tblStyle w:val="Table17"/>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Nome/Razão Social: [Nome Fornecedor CR1]</w:t>
            </w:r>
          </w:p>
          <w:p w:rsidR="00000000" w:rsidDel="00000000" w:rsidP="00000000" w:rsidRDefault="00000000" w:rsidRPr="00000000" w14:paraId="0000009D">
            <w:pP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CNPJ: [CNPJ Fornecedor CR1]</w:t>
            </w:r>
          </w:p>
          <w:p w:rsidR="00000000" w:rsidDel="00000000" w:rsidP="00000000" w:rsidRDefault="00000000" w:rsidRPr="00000000" w14:paraId="0000009E">
            <w:pP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Endereço Completo: [...] Telefone: [...] E-mail: [...]</w:t>
            </w:r>
          </w:p>
          <w:p w:rsidR="00000000" w:rsidDel="00000000" w:rsidP="00000000" w:rsidRDefault="00000000" w:rsidRPr="00000000" w14:paraId="0000009F">
            <w:pP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Representante Legal: [Nome], RG: [...], CPF: [...]</w:t>
            </w:r>
          </w:p>
          <w:p w:rsidR="00000000" w:rsidDel="00000000" w:rsidP="00000000" w:rsidRDefault="00000000" w:rsidRPr="00000000" w14:paraId="000000A0">
            <w:pP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Itens e Condições Registradas</w:t>
            </w:r>
          </w:p>
          <w:p w:rsidR="00000000" w:rsidDel="00000000" w:rsidP="00000000" w:rsidRDefault="00000000" w:rsidRPr="00000000" w14:paraId="000000A1">
            <w:pPr>
              <w:rPr>
                <w:rFonts w:ascii="Calibri" w:cs="Calibri" w:eastAsia="Calibri" w:hAnsi="Calibri"/>
                <w:color w:val="ff0000"/>
                <w:sz w:val="24"/>
                <w:szCs w:val="24"/>
              </w:rPr>
            </w:pPr>
            <w:r w:rsidDel="00000000" w:rsidR="00000000" w:rsidRPr="00000000">
              <w:rPr>
                <w:rtl w:val="0"/>
              </w:rPr>
            </w:r>
          </w:p>
        </w:tc>
      </w:tr>
    </w:tbl>
    <w:p w:rsidR="00000000" w:rsidDel="00000000" w:rsidP="00000000" w:rsidRDefault="00000000" w:rsidRPr="00000000" w14:paraId="000000A2">
      <w:pPr>
        <w:numPr>
          <w:ilvl w:val="1"/>
          <w:numId w:val="1"/>
        </w:numPr>
        <w:spacing w:after="240" w:line="276" w:lineRule="auto"/>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2º Fornecedor da Lista 01 (Posição no Cadastro de Reserva: 1):</w:t>
      </w:r>
    </w:p>
    <w:tbl>
      <w:tblPr>
        <w:tblStyle w:val="Table18"/>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Nome/Razão Social: [Nome Fornecedor CR1]</w:t>
            </w:r>
          </w:p>
          <w:p w:rsidR="00000000" w:rsidDel="00000000" w:rsidP="00000000" w:rsidRDefault="00000000" w:rsidRPr="00000000" w14:paraId="000000A4">
            <w:pP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CNPJ: [CNPJ Fornecedor CR1]</w:t>
            </w:r>
          </w:p>
          <w:p w:rsidR="00000000" w:rsidDel="00000000" w:rsidP="00000000" w:rsidRDefault="00000000" w:rsidRPr="00000000" w14:paraId="000000A5">
            <w:pP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Endereço Completo: [...] Telefone: [...] E-mail: [...]</w:t>
            </w:r>
          </w:p>
          <w:p w:rsidR="00000000" w:rsidDel="00000000" w:rsidP="00000000" w:rsidRDefault="00000000" w:rsidRPr="00000000" w14:paraId="000000A6">
            <w:pP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Representante Legal: [Nome], RG: [...], CPF: [...]</w:t>
            </w:r>
          </w:p>
          <w:p w:rsidR="00000000" w:rsidDel="00000000" w:rsidP="00000000" w:rsidRDefault="00000000" w:rsidRPr="00000000" w14:paraId="000000A7">
            <w:pP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Itens e Condições Registradas</w:t>
            </w:r>
          </w:p>
          <w:p w:rsidR="00000000" w:rsidDel="00000000" w:rsidP="00000000" w:rsidRDefault="00000000" w:rsidRPr="00000000" w14:paraId="000000A8">
            <w:pP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A9">
      <w:pPr>
        <w:spacing w:after="240"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A">
      <w:pPr>
        <w:spacing w:after="240" w:line="276" w:lineRule="auto"/>
        <w:jc w:val="both"/>
        <w:rPr>
          <w:rFonts w:ascii="Calibri" w:cs="Calibri" w:eastAsia="Calibri" w:hAnsi="Calibri"/>
          <w:i w:val="1"/>
          <w:color w:val="ff0000"/>
          <w:sz w:val="24"/>
          <w:szCs w:val="24"/>
        </w:rPr>
      </w:pPr>
      <w:r w:rsidDel="00000000" w:rsidR="00000000" w:rsidRPr="00000000">
        <w:rPr>
          <w:rFonts w:ascii="Calibri" w:cs="Calibri" w:eastAsia="Calibri" w:hAnsi="Calibri"/>
          <w:i w:val="1"/>
          <w:color w:val="ff0000"/>
          <w:sz w:val="24"/>
          <w:szCs w:val="24"/>
          <w:rtl w:val="0"/>
        </w:rPr>
        <w:t xml:space="preserve">(Continuar a lista conforme necessário)</w:t>
      </w:r>
    </w:p>
    <w:p w:rsidR="00000000" w:rsidDel="00000000" w:rsidP="00000000" w:rsidRDefault="00000000" w:rsidRPr="00000000" w14:paraId="000000AB">
      <w:pPr>
        <w:spacing w:line="276" w:lineRule="auto"/>
        <w:jc w:val="both"/>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C">
      <w:pPr>
        <w:pBdr>
          <w:top w:color="auto" w:space="0" w:sz="0" w:val="none"/>
          <w:bottom w:color="auto" w:space="0" w:sz="0" w:val="none"/>
          <w:between w:color="auto" w:space="0" w:sz="0" w:val="none"/>
        </w:pBdr>
        <w:spacing w:after="240" w:line="276" w:lineRule="auto"/>
        <w:jc w:val="both"/>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AD">
      <w:pPr>
        <w:pBdr>
          <w:top w:color="auto" w:space="0" w:sz="0" w:val="none"/>
          <w:bottom w:color="auto" w:space="0" w:sz="0" w:val="none"/>
          <w:between w:color="auto" w:space="0" w:sz="0" w:val="none"/>
        </w:pBdr>
        <w:spacing w:after="240"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Anexo III - TERMO DE ADESÃO DE NOVO FORNECEDOR AO SISTEMA DE REGISTRO DE PREÇOS</w:t>
      </w:r>
    </w:p>
    <w:p w:rsidR="00000000" w:rsidDel="00000000" w:rsidP="00000000" w:rsidRDefault="00000000" w:rsidRPr="00000000" w14:paraId="000000AE">
      <w:pPr>
        <w:pBdr>
          <w:top w:color="auto" w:space="0" w:sz="0" w:val="none"/>
          <w:bottom w:color="auto" w:space="0" w:sz="0" w:val="none"/>
          <w:between w:color="auto" w:space="0" w:sz="0" w:val="none"/>
        </w:pBdr>
        <w:spacing w:after="240" w:line="276" w:lineRule="auto"/>
        <w:jc w:val="both"/>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(Instrumento a ser utilizado para formalizar o ingresso de novos fornecedores na Ata de Registro de Preços, após sua vigência inicial, conforme Cláusula Sétima da Ata)</w:t>
      </w:r>
    </w:p>
    <w:p w:rsidR="00000000" w:rsidDel="00000000" w:rsidP="00000000" w:rsidRDefault="00000000" w:rsidRPr="00000000" w14:paraId="000000AF">
      <w:pPr>
        <w:pBdr>
          <w:top w:color="auto" w:space="0" w:sz="0" w:val="none"/>
          <w:bottom w:color="auto" w:space="0" w:sz="0" w:val="none"/>
          <w:between w:color="auto" w:space="0" w:sz="0" w:val="none"/>
        </w:pBdr>
        <w:spacing w:after="240"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PROCESSO ADMINISTRATIVO N°: ___/202X (Processo Original da ARP)</w:t>
      </w:r>
    </w:p>
    <w:p w:rsidR="00000000" w:rsidDel="00000000" w:rsidP="00000000" w:rsidRDefault="00000000" w:rsidRPr="00000000" w14:paraId="000000B0">
      <w:pPr>
        <w:pBdr>
          <w:top w:color="auto" w:space="0" w:sz="0" w:val="none"/>
          <w:bottom w:color="auto" w:space="0" w:sz="0" w:val="none"/>
          <w:between w:color="auto" w:space="0" w:sz="0" w:val="none"/>
        </w:pBdr>
        <w:spacing w:after="240"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ATA DE REGISTRO DE PREÇOS Nº: [Número da ATA Original]</w:t>
      </w:r>
    </w:p>
    <w:p w:rsidR="00000000" w:rsidDel="00000000" w:rsidP="00000000" w:rsidRDefault="00000000" w:rsidRPr="00000000" w14:paraId="000000B1">
      <w:pPr>
        <w:pBdr>
          <w:top w:color="auto" w:space="0" w:sz="0" w:val="none"/>
          <w:bottom w:color="auto" w:space="0" w:sz="0" w:val="none"/>
          <w:between w:color="auto" w:space="0" w:sz="0" w:val="none"/>
        </w:pBdr>
        <w:spacing w:after="240" w:line="276" w:lineRule="auto"/>
        <w:jc w:val="both"/>
        <w:rPr>
          <w:rFonts w:ascii="Calibri" w:cs="Calibri" w:eastAsia="Calibri" w:hAnsi="Calibri"/>
          <w:b w:val="1"/>
          <w:color w:val="ff0000"/>
          <w:sz w:val="24"/>
          <w:szCs w:val="24"/>
        </w:rPr>
      </w:pPr>
      <w:r w:rsidDel="00000000" w:rsidR="00000000" w:rsidRPr="00000000">
        <w:rPr>
          <w:rFonts w:ascii="Calibri" w:cs="Calibri" w:eastAsia="Calibri" w:hAnsi="Calibri"/>
          <w:b w:val="1"/>
          <w:color w:val="ff0000"/>
          <w:sz w:val="24"/>
          <w:szCs w:val="24"/>
          <w:rtl w:val="0"/>
        </w:rPr>
        <w:t xml:space="preserve">[Modalidade e Número do Edital Original]</w:t>
      </w:r>
    </w:p>
    <w:p w:rsidR="00000000" w:rsidDel="00000000" w:rsidP="00000000" w:rsidRDefault="00000000" w:rsidRPr="00000000" w14:paraId="000000B2">
      <w:pPr>
        <w:pBdr>
          <w:top w:color="auto" w:space="0" w:sz="0" w:val="none"/>
          <w:bottom w:color="auto" w:space="0" w:sz="0" w:val="none"/>
          <w:between w:color="auto" w:space="0" w:sz="0" w:val="none"/>
        </w:pBdr>
        <w:spacing w:after="240" w:line="276" w:lineRule="auto"/>
        <w:jc w:val="both"/>
        <w:rPr>
          <w:rFonts w:ascii="Calibri" w:cs="Calibri" w:eastAsia="Calibri" w:hAnsi="Calibri"/>
          <w:b w:val="1"/>
          <w:color w:val="ff0000"/>
          <w:sz w:val="24"/>
          <w:szCs w:val="24"/>
        </w:rPr>
      </w:pPr>
      <w:r w:rsidDel="00000000" w:rsidR="00000000" w:rsidRPr="00000000">
        <w:rPr>
          <w:rFonts w:ascii="Calibri" w:cs="Calibri" w:eastAsia="Calibri" w:hAnsi="Calibri"/>
          <w:b w:val="1"/>
          <w:sz w:val="24"/>
          <w:szCs w:val="24"/>
          <w:rtl w:val="0"/>
        </w:rPr>
        <w:t xml:space="preserve">DATA DE INGRESSO: //202X</w:t>
      </w:r>
      <w:r w:rsidDel="00000000" w:rsidR="00000000" w:rsidRPr="00000000">
        <w:rPr>
          <w:rtl w:val="0"/>
        </w:rPr>
      </w:r>
    </w:p>
    <w:p w:rsidR="00000000" w:rsidDel="00000000" w:rsidP="00000000" w:rsidRDefault="00000000" w:rsidRPr="00000000" w14:paraId="000000B3">
      <w:pPr>
        <w:spacing w:after="240" w:line="276" w:lineRule="auto"/>
        <w:jc w:val="both"/>
        <w:rPr>
          <w:rFonts w:ascii="Calibri" w:cs="Calibri" w:eastAsia="Calibri" w:hAnsi="Calibri"/>
          <w:sz w:val="24"/>
          <w:szCs w:val="24"/>
        </w:rPr>
      </w:pPr>
      <w:r w:rsidDel="00000000" w:rsidR="00000000" w:rsidRPr="00000000">
        <w:rPr>
          <w:rFonts w:ascii="Calibri" w:cs="Calibri" w:eastAsia="Calibri" w:hAnsi="Calibri"/>
          <w:color w:val="ff0000"/>
          <w:sz w:val="24"/>
          <w:szCs w:val="24"/>
          <w:rtl w:val="0"/>
        </w:rPr>
        <w:t xml:space="preserve">Pelo presente instrumento, [NOME NOVO FORNECEDOR], pessoa jurídica de direito privado, inscrita no CNPJ sob o nº _________, com sede à Rua ______</w:t>
      </w:r>
      <w:r w:rsidDel="00000000" w:rsidR="00000000" w:rsidRPr="00000000">
        <w:rPr>
          <w:rFonts w:ascii="Calibri" w:cs="Calibri" w:eastAsia="Calibri" w:hAnsi="Calibri"/>
          <w:i w:val="1"/>
          <w:color w:val="ff0000"/>
          <w:sz w:val="24"/>
          <w:szCs w:val="24"/>
          <w:rtl w:val="0"/>
        </w:rPr>
        <w:t xml:space="preserve">, nº , Bairro ___, na cidade de ___ – Estado, CEP: _, Telefone ()</w:t>
      </w:r>
      <w:r w:rsidDel="00000000" w:rsidR="00000000" w:rsidRPr="00000000">
        <w:rPr>
          <w:rFonts w:ascii="Calibri" w:cs="Calibri" w:eastAsia="Calibri" w:hAnsi="Calibri"/>
          <w:color w:val="ff0000"/>
          <w:sz w:val="24"/>
          <w:szCs w:val="24"/>
          <w:rtl w:val="0"/>
        </w:rPr>
        <w:t xml:space="preserve">, e-mail: ___, neste ato devidamente representada pelo(a) Sr(a). ___, portador(a) do RG nº ___ e CPF nº ___</w:t>
      </w:r>
      <w:r w:rsidDel="00000000" w:rsidR="00000000" w:rsidRPr="00000000">
        <w:rPr>
          <w:rFonts w:ascii="Calibri" w:cs="Calibri" w:eastAsia="Calibri" w:hAnsi="Calibri"/>
          <w:sz w:val="24"/>
          <w:szCs w:val="24"/>
          <w:rtl w:val="0"/>
        </w:rPr>
        <w:t xml:space="preserve">, doravante denominado FORNECEDOR INGRESSANTE, em observância às disposições da Lei nº 14.133/2021, ao Decreto Municipal 115/2023 e demais normas aplicáveis, resolve celebrar o presente Termo de Adesão às Condições da Ata de Registro de Preços nº [</w:t>
      </w:r>
      <w:r w:rsidDel="00000000" w:rsidR="00000000" w:rsidRPr="00000000">
        <w:rPr>
          <w:rFonts w:ascii="Calibri" w:cs="Calibri" w:eastAsia="Calibri" w:hAnsi="Calibri"/>
          <w:color w:val="ff0000"/>
          <w:sz w:val="24"/>
          <w:szCs w:val="24"/>
          <w:rtl w:val="0"/>
        </w:rPr>
        <w:t xml:space="preserve">Número da ATA],</w:t>
      </w:r>
      <w:r w:rsidDel="00000000" w:rsidR="00000000" w:rsidRPr="00000000">
        <w:rPr>
          <w:rFonts w:ascii="Calibri" w:cs="Calibri" w:eastAsia="Calibri" w:hAnsi="Calibri"/>
          <w:sz w:val="24"/>
          <w:szCs w:val="24"/>
          <w:rtl w:val="0"/>
        </w:rPr>
        <w:t xml:space="preserve"> nos termos das cláusulas e condições a seguir:</w:t>
      </w:r>
    </w:p>
    <w:p w:rsidR="00000000" w:rsidDel="00000000" w:rsidP="00000000" w:rsidRDefault="00000000" w:rsidRPr="00000000" w14:paraId="000000B4">
      <w:pPr>
        <w:pBdr>
          <w:top w:color="auto" w:space="0" w:sz="0" w:val="none"/>
          <w:bottom w:color="auto" w:space="0" w:sz="0" w:val="none"/>
          <w:between w:color="auto" w:space="0" w:sz="0" w:val="none"/>
        </w:pBdr>
        <w:spacing w:after="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 O presente Termo tem por objeto formalizar o ingresso do FORNECEDOR INGRESSANTE ao Sistema de Registro de Preços estabelecido pela Ata de Registro de Preços nº [Número da ATA], referente ao Objeto descrito na Cláusula Primeira da referida Ata, publicada no PNCP em [Data da Publicação Original]. [source: 195, adapted]</w:t>
      </w:r>
    </w:p>
    <w:p w:rsidR="00000000" w:rsidDel="00000000" w:rsidP="00000000" w:rsidRDefault="00000000" w:rsidRPr="00000000" w14:paraId="000000B5">
      <w:pPr>
        <w:pBdr>
          <w:top w:color="auto" w:space="0" w:sz="0" w:val="none"/>
          <w:bottom w:color="auto" w:space="0" w:sz="0" w:val="none"/>
          <w:between w:color="auto" w:space="0" w:sz="0" w:val="none"/>
        </w:pBdr>
        <w:spacing w:after="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 O </w:t>
      </w:r>
      <w:r w:rsidDel="00000000" w:rsidR="00000000" w:rsidRPr="00000000">
        <w:rPr>
          <w:rFonts w:ascii="Calibri" w:cs="Calibri" w:eastAsia="Calibri" w:hAnsi="Calibri"/>
          <w:b w:val="1"/>
          <w:sz w:val="24"/>
          <w:szCs w:val="24"/>
          <w:rtl w:val="0"/>
        </w:rPr>
        <w:t xml:space="preserve">FORNECEDOR INGRESSANTE </w:t>
      </w:r>
      <w:r w:rsidDel="00000000" w:rsidR="00000000" w:rsidRPr="00000000">
        <w:rPr>
          <w:rFonts w:ascii="Calibri" w:cs="Calibri" w:eastAsia="Calibri" w:hAnsi="Calibri"/>
          <w:sz w:val="24"/>
          <w:szCs w:val="24"/>
          <w:rtl w:val="0"/>
        </w:rPr>
        <w:t xml:space="preserve">integrará o final do cadastro de reserva existente, sendo convocado para eventual contratação apenas após esgotadas as possibilidades de contratação com o fornecedor original e com os fornecedores constantes dos Anexos I e II da Ata original, respeitada a ordem de classificação destes e a ordem de ingresso dos novos fornecedores. [source: 196, 198 revised logic for new entrants]</w:t>
      </w:r>
    </w:p>
    <w:p w:rsidR="00000000" w:rsidDel="00000000" w:rsidP="00000000" w:rsidRDefault="00000000" w:rsidRPr="00000000" w14:paraId="000000B6">
      <w:pPr>
        <w:pBdr>
          <w:top w:color="auto" w:space="0" w:sz="0" w:val="none"/>
          <w:bottom w:color="auto" w:space="0" w:sz="0" w:val="none"/>
          <w:between w:color="auto" w:space="0" w:sz="0" w:val="none"/>
        </w:pBdr>
        <w:spacing w:after="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1.3. O FORNECEDOR INGRESSANTE fornecerá os seguintes itens, pelos preços e condições negociados e aceitos pela Administração no despacho que autorizou seu ingresso</w:t>
      </w:r>
    </w:p>
    <w:p w:rsidR="00000000" w:rsidDel="00000000" w:rsidP="00000000" w:rsidRDefault="00000000" w:rsidRPr="00000000" w14:paraId="000000B7">
      <w:pPr>
        <w:pBdr>
          <w:top w:color="auto" w:space="0" w:sz="0" w:val="none"/>
          <w:bottom w:color="auto" w:space="0" w:sz="0" w:val="none"/>
          <w:between w:color="auto" w:space="0" w:sz="0" w:val="none"/>
        </w:pBdr>
        <w:spacing w:after="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1.4. O fornecedor ingressante declara ciência de que o ingresso não lhe garante direito à contratação, dependendo da demanda da Administração e da ordem de convocação. </w:t>
      </w:r>
    </w:p>
    <w:p w:rsidR="00000000" w:rsidDel="00000000" w:rsidP="00000000" w:rsidRDefault="00000000" w:rsidRPr="00000000" w14:paraId="000000B8">
      <w:pPr>
        <w:pBdr>
          <w:top w:color="auto" w:space="0" w:sz="0" w:val="none"/>
          <w:bottom w:color="auto" w:space="0" w:sz="0" w:val="none"/>
          <w:between w:color="auto" w:space="0" w:sz="0" w:val="none"/>
        </w:pBdr>
        <w:spacing w:after="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O fornecedor ingressante declara ter ciência integral do conteúdo do Edital e Termo de Referência originais, bem como da Ata de Registro de Preços à qual está ingressando.</w:t>
      </w:r>
    </w:p>
    <w:p w:rsidR="00000000" w:rsidDel="00000000" w:rsidP="00000000" w:rsidRDefault="00000000" w:rsidRPr="00000000" w14:paraId="000000B9">
      <w:pPr>
        <w:pBdr>
          <w:top w:color="auto" w:space="0" w:sz="0" w:val="none"/>
          <w:bottom w:color="auto" w:space="0" w:sz="0" w:val="none"/>
          <w:between w:color="auto" w:space="0" w:sz="0" w:val="none"/>
        </w:pBdr>
        <w:spacing w:after="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 O fornecedor ingressante se compromete a entregar ou executar o objeto nos termos e condições previstos no termo de referência, observados os preços, quantidades e marcas constantes da tabela acima (item 1.3).</w:t>
      </w:r>
    </w:p>
    <w:p w:rsidR="00000000" w:rsidDel="00000000" w:rsidP="00000000" w:rsidRDefault="00000000" w:rsidRPr="00000000" w14:paraId="000000BA">
      <w:pPr>
        <w:pBdr>
          <w:top w:color="auto" w:space="0" w:sz="0" w:val="none"/>
          <w:bottom w:color="auto" w:space="0" w:sz="0" w:val="none"/>
          <w:between w:color="auto" w:space="0" w:sz="0" w:val="none"/>
        </w:pBdr>
        <w:spacing w:after="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1.7. O Fornecedor Ingressante declara estar ciente e concordar com todas as condições e obrigações estabelecidas na referida Ata de Registro de Preços</w:t>
      </w:r>
      <w:r w:rsidDel="00000000" w:rsidR="00000000" w:rsidRPr="00000000">
        <w:rPr>
          <w:rFonts w:ascii="Calibri" w:cs="Calibri" w:eastAsia="Calibri" w:hAnsi="Calibri"/>
          <w:color w:val="ff0000"/>
          <w:sz w:val="24"/>
          <w:szCs w:val="24"/>
          <w:rtl w:val="0"/>
        </w:rPr>
        <w:t xml:space="preserve"> (Nº [Número da ATA])</w:t>
      </w:r>
      <w:r w:rsidDel="00000000" w:rsidR="00000000" w:rsidRPr="00000000">
        <w:rPr>
          <w:rFonts w:ascii="Calibri" w:cs="Calibri" w:eastAsia="Calibri" w:hAnsi="Calibri"/>
          <w:sz w:val="24"/>
          <w:szCs w:val="24"/>
          <w:rtl w:val="0"/>
        </w:rPr>
        <w:t xml:space="preserve">, bem como no Termo de Referência e documentos licitatórios originais, na Lei 14.133/2021, no Decreto Municipal 115/2023 e demais normas pertinentes, as quais passam a reger sua participação no SRP. [source: 201, adapted]</w:t>
      </w:r>
    </w:p>
    <w:p w:rsidR="00000000" w:rsidDel="00000000" w:rsidP="00000000" w:rsidRDefault="00000000" w:rsidRPr="00000000" w14:paraId="000000BB">
      <w:pPr>
        <w:pBdr>
          <w:top w:color="auto" w:space="0" w:sz="0" w:val="none"/>
          <w:bottom w:color="auto" w:space="0" w:sz="0" w:val="none"/>
          <w:between w:color="auto" w:space="0" w:sz="0" w:val="none"/>
        </w:pBdr>
        <w:spacing w:after="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1.8. O Fornecedor Ingressante se compromete a observar e cumprir integralmente as especificações técnicas, condições de entrega/execução e demais termos constantes na Ata de Registro de Preços e no Termo de Referência original. </w:t>
      </w:r>
    </w:p>
    <w:p w:rsidR="00000000" w:rsidDel="00000000" w:rsidP="00000000" w:rsidRDefault="00000000" w:rsidRPr="00000000" w14:paraId="000000BC">
      <w:pPr>
        <w:pBdr>
          <w:top w:color="auto" w:space="0" w:sz="0" w:val="none"/>
          <w:bottom w:color="auto" w:space="0" w:sz="0" w:val="none"/>
          <w:between w:color="auto" w:space="0" w:sz="0" w:val="none"/>
        </w:pBdr>
        <w:spacing w:after="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1.9. O Município de São Miguel do Iguaçu se responsabiliza pelo pagamento dos valores correspondentes aos bens ou serviços efetivamente fornecidos/prestados pelo Fornecedor Ingressante e devidamente recebidos, de acordo com os preços registrados para este fornecedor (conforme tabela no item 1.3) e as regras de pagamento definidas no Termo de Referência original. </w:t>
      </w:r>
    </w:p>
    <w:p w:rsidR="00000000" w:rsidDel="00000000" w:rsidP="00000000" w:rsidRDefault="00000000" w:rsidRPr="00000000" w14:paraId="000000BD">
      <w:pPr>
        <w:pBdr>
          <w:top w:color="auto" w:space="0" w:sz="0" w:val="none"/>
          <w:bottom w:color="auto" w:space="0" w:sz="0" w:val="none"/>
          <w:between w:color="auto" w:space="0" w:sz="0" w:val="none"/>
        </w:pBdr>
        <w:spacing w:after="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1.10. O presente Termo de Adesão terá vigência a partir da data de sua assinatura e o FORNECEDOR INGRESSANTE permanecerá registrado pelo prazo restante de validade da Ata de Registro de Preços nº </w:t>
      </w:r>
      <w:r w:rsidDel="00000000" w:rsidR="00000000" w:rsidRPr="00000000">
        <w:rPr>
          <w:rFonts w:ascii="Calibri" w:cs="Calibri" w:eastAsia="Calibri" w:hAnsi="Calibri"/>
          <w:color w:val="ff0000"/>
          <w:sz w:val="24"/>
          <w:szCs w:val="24"/>
          <w:rtl w:val="0"/>
        </w:rPr>
        <w:t xml:space="preserve">[Número da ATA]</w:t>
      </w:r>
      <w:r w:rsidDel="00000000" w:rsidR="00000000" w:rsidRPr="00000000">
        <w:rPr>
          <w:rFonts w:ascii="Calibri" w:cs="Calibri" w:eastAsia="Calibri" w:hAnsi="Calibri"/>
          <w:sz w:val="24"/>
          <w:szCs w:val="24"/>
          <w:rtl w:val="0"/>
        </w:rPr>
        <w:t xml:space="preserve">, incluindo eventual prorrogação, salvo exclusão anterior. </w:t>
      </w:r>
    </w:p>
    <w:p w:rsidR="00000000" w:rsidDel="00000000" w:rsidP="00000000" w:rsidRDefault="00000000" w:rsidRPr="00000000" w14:paraId="000000BE">
      <w:pPr>
        <w:pBdr>
          <w:top w:color="auto" w:space="0" w:sz="0" w:val="none"/>
          <w:bottom w:color="auto" w:space="0" w:sz="0" w:val="none"/>
          <w:between w:color="auto" w:space="0" w:sz="0" w:val="none"/>
        </w:pBdr>
        <w:spacing w:after="240" w:line="276" w:lineRule="auto"/>
        <w:jc w:val="both"/>
        <w:rPr>
          <w:rFonts w:ascii="Calibri" w:cs="Calibri" w:eastAsia="Calibri" w:hAnsi="Calibri"/>
          <w:color w:val="ff0000"/>
          <w:sz w:val="24"/>
          <w:szCs w:val="24"/>
        </w:rPr>
      </w:pPr>
      <w:r w:rsidDel="00000000" w:rsidR="00000000" w:rsidRPr="00000000">
        <w:rPr>
          <w:rFonts w:ascii="Calibri" w:cs="Calibri" w:eastAsia="Calibri" w:hAnsi="Calibri"/>
          <w:sz w:val="24"/>
          <w:szCs w:val="24"/>
          <w:rtl w:val="0"/>
        </w:rPr>
        <w:t xml:space="preserve">1.11. Este Termo de Adesão é regido pelas normas citadas no item 2.1 e pelas cláusulas da Ata de </w:t>
      </w:r>
      <w:r w:rsidDel="00000000" w:rsidR="00000000" w:rsidRPr="00000000">
        <w:rPr>
          <w:rFonts w:ascii="Calibri" w:cs="Calibri" w:eastAsia="Calibri" w:hAnsi="Calibri"/>
          <w:color w:val="ff0000"/>
          <w:sz w:val="24"/>
          <w:szCs w:val="24"/>
          <w:rtl w:val="0"/>
        </w:rPr>
        <w:t xml:space="preserve">Registro de Preços nº [Número da ATA]</w:t>
      </w:r>
    </w:p>
    <w:p w:rsidR="00000000" w:rsidDel="00000000" w:rsidP="00000000" w:rsidRDefault="00000000" w:rsidRPr="00000000" w14:paraId="000000BF">
      <w:pPr>
        <w:pBdr>
          <w:top w:color="auto" w:space="0" w:sz="0" w:val="none"/>
          <w:bottom w:color="auto" w:space="0" w:sz="0" w:val="none"/>
          <w:between w:color="auto" w:space="0" w:sz="0" w:val="none"/>
        </w:pBdr>
        <w:spacing w:after="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r w:rsidDel="00000000" w:rsidR="00000000" w:rsidRPr="00000000">
        <w:rPr>
          <w:rFonts w:ascii="Calibri" w:cs="Calibri" w:eastAsia="Calibri" w:hAnsi="Calibri"/>
          <w:sz w:val="24"/>
          <w:szCs w:val="24"/>
          <w:rtl w:val="0"/>
        </w:rPr>
        <w:t xml:space="preserve">.12 Fica eleito o foro da Comarca de São Miguel do Iguaçu/PR para dirimir quaisquer questões oriundas deste instrumento. </w:t>
      </w:r>
    </w:p>
    <w:p w:rsidR="00000000" w:rsidDel="00000000" w:rsidP="00000000" w:rsidRDefault="00000000" w:rsidRPr="00000000" w14:paraId="000000C0">
      <w:pPr>
        <w:pBdr>
          <w:top w:color="auto" w:space="0" w:sz="0" w:val="none"/>
          <w:bottom w:color="auto" w:space="0" w:sz="0" w:val="none"/>
          <w:between w:color="auto" w:space="0" w:sz="0" w:val="none"/>
        </w:pBdr>
        <w:spacing w:after="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1.13. Para firmeza e validade do pactuado, o presente Termo foi lavrado em formato digital, devendo as partes promoverem assinatura eletrônica qualificada por meio de certificado digital padrão ICP-Brasil. </w:t>
      </w:r>
    </w:p>
    <w:p w:rsidR="00000000" w:rsidDel="00000000" w:rsidP="00000000" w:rsidRDefault="00000000" w:rsidRPr="00000000" w14:paraId="000000C1">
      <w:pPr>
        <w:spacing w:after="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São Miguel do Iguaçu-PR, __ de ________ de 202X. [source: 110]</w:t>
      </w:r>
    </w:p>
    <w:p w:rsidR="00000000" w:rsidDel="00000000" w:rsidP="00000000" w:rsidRDefault="00000000" w:rsidRPr="00000000" w14:paraId="000000C2">
      <w:pPr>
        <w:spacing w:after="240" w:line="276" w:lineRule="auto"/>
        <w:jc w:val="both"/>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(Assinatura Eletrônica via Plataforma Oficial / ICP-Brasil)</w:t>
      </w:r>
    </w:p>
    <w:p w:rsidR="00000000" w:rsidDel="00000000" w:rsidP="00000000" w:rsidRDefault="00000000" w:rsidRPr="00000000" w14:paraId="000000C3">
      <w:pPr>
        <w:spacing w:line="276" w:lineRule="auto"/>
        <w:jc w:val="both"/>
        <w:rPr>
          <w:rFonts w:ascii="Calibri" w:cs="Calibri" w:eastAsia="Calibri" w:hAnsi="Calibri"/>
          <w:color w:val="ff0000"/>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4">
      <w:pPr>
        <w:pBdr>
          <w:top w:color="auto" w:space="0" w:sz="0" w:val="none"/>
          <w:bottom w:color="auto" w:space="0" w:sz="0" w:val="none"/>
          <w:between w:color="auto" w:space="0" w:sz="0" w:val="none"/>
        </w:pBdr>
        <w:spacing w:after="240" w:line="276" w:lineRule="auto"/>
        <w:jc w:val="both"/>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[Nome do Representante Legal do Fornecedor Ingressante]</w:t>
      </w:r>
    </w:p>
    <w:p w:rsidR="00000000" w:rsidDel="00000000" w:rsidP="00000000" w:rsidRDefault="00000000" w:rsidRPr="00000000" w14:paraId="000000C5">
      <w:pPr>
        <w:pBdr>
          <w:top w:color="auto" w:space="0" w:sz="0" w:val="none"/>
          <w:bottom w:color="auto" w:space="0" w:sz="0" w:val="none"/>
          <w:between w:color="auto" w:space="0" w:sz="0" w:val="none"/>
        </w:pBdr>
        <w:spacing w:after="240" w:line="276" w:lineRule="auto"/>
        <w:jc w:val="both"/>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[Cargo]</w:t>
      </w:r>
    </w:p>
    <w:p w:rsidR="00000000" w:rsidDel="00000000" w:rsidP="00000000" w:rsidRDefault="00000000" w:rsidRPr="00000000" w14:paraId="000000C6">
      <w:pPr>
        <w:pBdr>
          <w:top w:color="auto" w:space="0" w:sz="0" w:val="none"/>
          <w:bottom w:color="auto" w:space="0" w:sz="0" w:val="none"/>
          <w:between w:color="auto" w:space="0" w:sz="0" w:val="none"/>
        </w:pBdr>
        <w:spacing w:after="240" w:line="276" w:lineRule="auto"/>
        <w:jc w:val="both"/>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[Nome da Empresa Ingressante] - CNPJ: XX.XXX.XXX/XXXX-XX</w:t>
      </w:r>
    </w:p>
    <w:p w:rsidR="00000000" w:rsidDel="00000000" w:rsidP="00000000" w:rsidRDefault="00000000" w:rsidRPr="00000000" w14:paraId="000000C7">
      <w:pPr>
        <w:pBdr>
          <w:top w:color="auto" w:space="0" w:sz="0" w:val="none"/>
          <w:bottom w:color="auto" w:space="0" w:sz="0" w:val="none"/>
          <w:between w:color="auto" w:space="0" w:sz="0" w:val="none"/>
        </w:pBdr>
        <w:spacing w:after="240" w:line="276" w:lineRule="auto"/>
        <w:jc w:val="both"/>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FORNECEDOR INGRESSANTE</w:t>
      </w:r>
    </w:p>
    <w:p w:rsidR="00000000" w:rsidDel="00000000" w:rsidP="00000000" w:rsidRDefault="00000000" w:rsidRPr="00000000" w14:paraId="000000C8">
      <w:pPr>
        <w:spacing w:after="240" w:line="276" w:lineRule="auto"/>
        <w:jc w:val="both"/>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(Assinatura Eletrônica via Plataforma Oficial / ICP-Brasil)</w:t>
      </w:r>
    </w:p>
    <w:p w:rsidR="00000000" w:rsidDel="00000000" w:rsidP="00000000" w:rsidRDefault="00000000" w:rsidRPr="00000000" w14:paraId="000000C9">
      <w:pPr>
        <w:spacing w:line="276" w:lineRule="auto"/>
        <w:jc w:val="both"/>
        <w:rPr>
          <w:rFonts w:ascii="Calibri" w:cs="Calibri" w:eastAsia="Calibri" w:hAnsi="Calibri"/>
          <w:color w:val="ff0000"/>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A">
      <w:pPr>
        <w:pBdr>
          <w:top w:color="auto" w:space="0" w:sz="0" w:val="none"/>
          <w:bottom w:color="auto" w:space="0" w:sz="0" w:val="none"/>
          <w:between w:color="auto" w:space="0" w:sz="0" w:val="none"/>
        </w:pBdr>
        <w:spacing w:after="240" w:line="276" w:lineRule="auto"/>
        <w:jc w:val="both"/>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[Nome do Secretário Municipal Competente]</w:t>
      </w:r>
    </w:p>
    <w:p w:rsidR="00000000" w:rsidDel="00000000" w:rsidP="00000000" w:rsidRDefault="00000000" w:rsidRPr="00000000" w14:paraId="000000CB">
      <w:pPr>
        <w:pBdr>
          <w:top w:color="auto" w:space="0" w:sz="0" w:val="none"/>
          <w:bottom w:color="auto" w:space="0" w:sz="0" w:val="none"/>
          <w:between w:color="auto" w:space="0" w:sz="0" w:val="none"/>
        </w:pBdr>
        <w:spacing w:after="240" w:line="276" w:lineRule="auto"/>
        <w:jc w:val="both"/>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Secretário(a) Municipal de [Definir Secretaria Conforme Normativo Interno ou Delegação Específica]</w:t>
      </w:r>
    </w:p>
    <w:p w:rsidR="00000000" w:rsidDel="00000000" w:rsidP="00000000" w:rsidRDefault="00000000" w:rsidRPr="00000000" w14:paraId="000000CC">
      <w:pPr>
        <w:pBdr>
          <w:top w:color="auto" w:space="0" w:sz="0" w:val="none"/>
          <w:bottom w:color="auto" w:space="0" w:sz="0" w:val="none"/>
          <w:between w:color="auto" w:space="0" w:sz="0" w:val="none"/>
        </w:pBdr>
        <w:spacing w:after="240" w:line="276" w:lineRule="auto"/>
        <w:jc w:val="both"/>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MUNICÍPIO DE SÃO MIGUEL DO IGUAÇU - PR</w:t>
      </w:r>
    </w:p>
    <w:p w:rsidR="00000000" w:rsidDel="00000000" w:rsidP="00000000" w:rsidRDefault="00000000" w:rsidRPr="00000000" w14:paraId="000000CD">
      <w:pPr>
        <w:spacing w:line="276" w:lineRule="auto"/>
        <w:jc w:val="both"/>
        <w:rPr>
          <w:rFonts w:ascii="Calibri" w:cs="Calibri" w:eastAsia="Calibri" w:hAnsi="Calibri"/>
          <w:color w:val="ff0000"/>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line="275.9999942779541" w:lineRule="auto"/>
        <w:jc w:val="both"/>
        <w:rPr>
          <w:rFonts w:ascii="Calibri" w:cs="Calibri" w:eastAsia="Calibri" w:hAnsi="Calibri"/>
          <w:b w:val="1"/>
          <w:sz w:val="24"/>
          <w:szCs w:val="24"/>
        </w:rPr>
      </w:pPr>
      <w:r w:rsidDel="00000000" w:rsidR="00000000" w:rsidRPr="00000000">
        <w:rPr>
          <w:rtl w:val="0"/>
        </w:rPr>
      </w:r>
    </w:p>
    <w:sectPr>
      <w:headerReference r:id="rId6" w:type="default"/>
      <w:footerReference r:id="rId7"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8">
    <w:pPr>
      <w:tabs>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center" w:leader="none" w:pos="3825"/>
        <w:tab w:val="right" w:leader="none" w:pos="9638"/>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🏛️Rua Vânio Ghellere, 64 – Centro - CEP 85877-000 – São Miguel do Iguaçu - Paraná </w:t>
    </w:r>
  </w:p>
  <w:p w:rsidR="00000000" w:rsidDel="00000000" w:rsidP="00000000" w:rsidRDefault="00000000" w:rsidRPr="00000000" w14:paraId="000000D9">
    <w:pPr>
      <w:tabs>
        <w:tab w:val="left" w:leader="none" w:pos="6663"/>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hyperlink r:id="rId1">
      <w:r w:rsidDel="00000000" w:rsidR="00000000" w:rsidRPr="00000000">
        <w:rPr>
          <w:rFonts w:ascii="Calibri" w:cs="Calibri" w:eastAsia="Calibri" w:hAnsi="Calibri"/>
          <w:color w:val="1155cc"/>
          <w:sz w:val="20"/>
          <w:szCs w:val="20"/>
          <w:u w:val="single"/>
          <w:rtl w:val="0"/>
        </w:rPr>
        <w:t xml:space="preserve">www.saomiguel.pr.gov.br</w:t>
      </w:r>
    </w:hyperlink>
    <w:r w:rsidDel="00000000" w:rsidR="00000000" w:rsidRPr="00000000">
      <w:rPr>
        <w:rFonts w:ascii="Calibri" w:cs="Calibri" w:eastAsia="Calibri" w:hAnsi="Calibri"/>
        <w:sz w:val="20"/>
        <w:szCs w:val="20"/>
        <w:rtl w:val="0"/>
      </w:rPr>
      <w:t xml:space="preserve"> –📩 </w:t>
    </w:r>
    <w:hyperlink r:id="rId2">
      <w:r w:rsidDel="00000000" w:rsidR="00000000" w:rsidRPr="00000000">
        <w:rPr>
          <w:rFonts w:ascii="Calibri" w:cs="Calibri" w:eastAsia="Calibri" w:hAnsi="Calibri"/>
          <w:color w:val="1155cc"/>
          <w:sz w:val="20"/>
          <w:szCs w:val="20"/>
          <w:u w:val="single"/>
          <w:rtl w:val="0"/>
        </w:rPr>
        <w:t xml:space="preserve">licitacoes@saomiguel.pr.gov.br</w:t>
      </w:r>
    </w:hyperlink>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20"/>
        <w:szCs w:val="20"/>
      </w:rPr>
      <w:drawing>
        <wp:inline distB="114300" distT="114300" distL="114300" distR="114300">
          <wp:extent cx="205539" cy="190500"/>
          <wp:effectExtent b="0" l="0" r="0" t="0"/>
          <wp:docPr id="2"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205539" cy="190500"/>
                  </a:xfrm>
                  <a:prstGeom prst="rect"/>
                  <a:ln/>
                </pic:spPr>
              </pic:pic>
            </a:graphicData>
          </a:graphic>
        </wp:inline>
      </w:drawing>
    </w:r>
    <w:r w:rsidDel="00000000" w:rsidR="00000000" w:rsidRPr="00000000">
      <w:rPr>
        <w:rFonts w:ascii="Calibri" w:cs="Calibri" w:eastAsia="Calibri" w:hAnsi="Calibri"/>
        <w:sz w:val="20"/>
        <w:szCs w:val="20"/>
        <w:rtl w:val="0"/>
      </w:rPr>
      <w:t xml:space="preserve">(45) 3565-8139 </w:t>
    </w:r>
  </w:p>
  <w:p w:rsidR="00000000" w:rsidDel="00000000" w:rsidP="00000000" w:rsidRDefault="00000000" w:rsidRPr="00000000" w14:paraId="000000DA">
    <w:pPr>
      <w:tabs>
        <w:tab w:val="left" w:leader="none" w:pos="0"/>
        <w:tab w:val="left" w:leader="none" w:pos="0"/>
        <w:tab w:val="left" w:leader="none" w:pos="0"/>
        <w:tab w:val="left" w:leader="none" w:pos="0"/>
        <w:tab w:val="left" w:leader="none" w:pos="0"/>
        <w:tab w:val="left" w:leader="none" w:pos="0"/>
        <w:tab w:val="left" w:leader="none" w:pos="0"/>
        <w:tab w:val="left" w:leader="none" w:pos="0"/>
        <w:tab w:val="left" w:leader="none" w:pos="0"/>
        <w:tab w:val="left" w:leader="none" w:pos="0"/>
        <w:tab w:val="left" w:leader="none" w:pos="0"/>
        <w:tab w:val="left" w:leader="none" w:pos="0"/>
        <w:tab w:val="center" w:leader="none" w:pos="3825"/>
        <w:tab w:val="right" w:leader="none" w:pos="9638"/>
      </w:tabs>
      <w:jc w:val="center"/>
      <w:rPr/>
    </w:pPr>
    <w:r w:rsidDel="00000000" w:rsidR="00000000" w:rsidRPr="00000000">
      <w:rPr>
        <w:rFonts w:ascii="Calibri" w:cs="Calibri" w:eastAsia="Calibri" w:hAnsi="Calibri"/>
        <w:b w:val="1"/>
        <w:sz w:val="24"/>
        <w:szCs w:val="24"/>
        <w:rtl w:val="0"/>
      </w:rPr>
      <w:t xml:space="preserve">Pág. </w:t>
    </w:r>
    <w:r w:rsidDel="00000000" w:rsidR="00000000" w:rsidRPr="00000000">
      <w:rPr>
        <w:rFonts w:ascii="Calibri" w:cs="Calibri" w:eastAsia="Calibri" w:hAnsi="Calibri"/>
        <w:b w:val="1"/>
        <w:sz w:val="24"/>
        <w:szCs w:val="24"/>
      </w:rPr>
      <w:fldChar w:fldCharType="begin"/>
      <w:instrText xml:space="preserve">PAGE</w:instrText>
      <w:fldChar w:fldCharType="separate"/>
      <w:fldChar w:fldCharType="end"/>
    </w:r>
    <w:r w:rsidDel="00000000" w:rsidR="00000000" w:rsidRPr="00000000">
      <w:rPr>
        <w:rFonts w:ascii="Calibri" w:cs="Calibri" w:eastAsia="Calibri" w:hAnsi="Calibri"/>
        <w:b w:val="1"/>
        <w:sz w:val="24"/>
        <w:szCs w:val="24"/>
        <w:rtl w:val="0"/>
      </w:rPr>
      <w:t xml:space="preserve"> de </w:t>
    </w:r>
    <w:r w:rsidDel="00000000" w:rsidR="00000000" w:rsidRPr="00000000">
      <w:rPr>
        <w:rFonts w:ascii="Calibri" w:cs="Calibri" w:eastAsia="Calibri" w:hAnsi="Calibri"/>
        <w:b w:val="1"/>
        <w:sz w:val="24"/>
        <w:szCs w:val="24"/>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F">
    <w:pPr>
      <w:spacing w:line="275.9999942779541"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0">
    <w:pPr>
      <w:spacing w:line="275.9999942779541"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1">
    <w:pPr>
      <w:spacing w:line="275.9999942779541"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2">
    <w:pPr>
      <w:tabs>
        <w:tab w:val="left" w:leader="none" w:pos="0"/>
        <w:tab w:val="left" w:leader="none" w:pos="0"/>
        <w:tab w:val="left" w:leader="none" w:pos="0"/>
        <w:tab w:val="left" w:leader="none" w:pos="0"/>
        <w:tab w:val="left" w:leader="none" w:pos="0"/>
        <w:tab w:val="left" w:leader="none" w:pos="0"/>
        <w:tab w:val="left" w:leader="none" w:pos="0"/>
        <w:tab w:val="left" w:leader="none" w:pos="0"/>
        <w:tab w:val="left" w:leader="none" w:pos="0"/>
        <w:tab w:val="left" w:leader="none" w:pos="0"/>
        <w:tab w:val="left" w:leader="none" w:pos="0"/>
        <w:tab w:val="left" w:leader="none" w:pos="0"/>
        <w:tab w:val="right" w:leader="none" w:pos="9638"/>
      </w:tabs>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ESTADO DO PARANÁ</w:t>
    </w:r>
    <w:r w:rsidDel="00000000" w:rsidR="00000000" w:rsidRPr="00000000">
      <w:drawing>
        <wp:anchor allowOverlap="1" behindDoc="0" distB="0" distT="0" distL="0" distR="114300" hidden="0" layoutInCell="1" locked="0" relativeHeight="0" simplePos="0">
          <wp:simplePos x="0" y="0"/>
          <wp:positionH relativeFrom="column">
            <wp:posOffset>0</wp:posOffset>
          </wp:positionH>
          <wp:positionV relativeFrom="paragraph">
            <wp:posOffset>-38099</wp:posOffset>
          </wp:positionV>
          <wp:extent cx="847090" cy="650875"/>
          <wp:effectExtent b="0" l="0" r="0" t="0"/>
          <wp:wrapSquare wrapText="bothSides" distB="0" distT="0" distL="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47090" cy="650875"/>
                  </a:xfrm>
                  <a:prstGeom prst="rect"/>
                  <a:ln/>
                </pic:spPr>
              </pic:pic>
            </a:graphicData>
          </a:graphic>
        </wp:anchor>
      </w:drawing>
    </w:r>
  </w:p>
  <w:p w:rsidR="00000000" w:rsidDel="00000000" w:rsidP="00000000" w:rsidRDefault="00000000" w:rsidRPr="00000000" w14:paraId="000000D3">
    <w:pPr>
      <w:tabs>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center" w:leader="none" w:pos="4819"/>
        <w:tab w:val="right" w:leader="none" w:pos="9638"/>
      </w:tabs>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MUNICÍPIO DE SÃO MIGUEL DO IGUAÇU</w:t>
    </w:r>
  </w:p>
  <w:p w:rsidR="00000000" w:rsidDel="00000000" w:rsidP="00000000" w:rsidRDefault="00000000" w:rsidRPr="00000000" w14:paraId="000000D4">
    <w:pPr>
      <w:spacing w:after="200" w:lineRule="auto"/>
      <w:jc w:val="center"/>
      <w:rPr>
        <w:rFonts w:ascii="Calibri" w:cs="Calibri" w:eastAsia="Calibri" w:hAnsi="Calibri"/>
        <w:sz w:val="24"/>
        <w:szCs w:val="24"/>
      </w:rPr>
    </w:pPr>
    <w:r w:rsidDel="00000000" w:rsidR="00000000" w:rsidRPr="00000000">
      <w:rPr>
        <w:rFonts w:ascii="Calibri" w:cs="Calibri" w:eastAsia="Calibri" w:hAnsi="Calibri"/>
        <w:sz w:val="18"/>
        <w:szCs w:val="18"/>
        <w:rtl w:val="0"/>
      </w:rPr>
      <w:t xml:space="preserve">CNPJ 76.206.499/0001-50</w:t>
    </w:r>
    <w:r w:rsidDel="00000000" w:rsidR="00000000" w:rsidRPr="00000000">
      <w:rPr>
        <w:rtl w:val="0"/>
      </w:rPr>
    </w:r>
  </w:p>
  <w:p w:rsidR="00000000" w:rsidDel="00000000" w:rsidP="00000000" w:rsidRDefault="00000000" w:rsidRPr="00000000" w14:paraId="000000D5">
    <w:pPr>
      <w:jc w:val="cente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D6">
    <w:pPr>
      <w:spacing w:line="275.9999942779541"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7">
    <w:pPr>
      <w:spacing w:line="275.9999942779541" w:lineRule="auto"/>
      <w:jc w:val="both"/>
      <w:rPr/>
    </w:pPr>
    <w:r w:rsidDel="00000000" w:rsidR="00000000" w:rsidRPr="00000000">
      <w:rPr>
        <w:rFonts w:ascii="Calibri" w:cs="Calibri" w:eastAsia="Calibri" w:hAnsi="Calibri"/>
        <w:b w:val="1"/>
        <w:color w:val="ff0000"/>
        <w:sz w:val="24"/>
        <w:szCs w:val="24"/>
        <w:rtl w:val="0"/>
      </w:rPr>
      <w:t xml:space="preserve">MINUTA </w:t>
    </w:r>
    <w:r w:rsidDel="00000000" w:rsidR="00000000" w:rsidRPr="00000000">
      <w:rPr>
        <w:rFonts w:ascii="Calibri" w:cs="Calibri" w:eastAsia="Calibri" w:hAnsi="Calibri"/>
        <w:b w:val="1"/>
        <w:sz w:val="24"/>
        <w:szCs w:val="24"/>
        <w:rtl w:val="0"/>
      </w:rPr>
      <w:t xml:space="preserve">ATA DE REGISTRO DE PREÇOS</w:t>
    </w:r>
    <w:r w:rsidDel="00000000" w:rsidR="00000000" w:rsidRPr="00000000">
      <w:rPr>
        <w:rFonts w:ascii="Calibri" w:cs="Calibri" w:eastAsia="Calibri" w:hAnsi="Calibri"/>
        <w:b w:val="1"/>
        <w:sz w:val="24"/>
        <w:szCs w:val="24"/>
        <w:rtl w:val="0"/>
      </w:rPr>
      <w:t xml:space="preserve"> Nº </w:t>
    </w:r>
    <w:r w:rsidDel="00000000" w:rsidR="00000000" w:rsidRPr="00000000">
      <w:rPr>
        <w:rFonts w:ascii="Calibri" w:cs="Calibri" w:eastAsia="Calibri" w:hAnsi="Calibri"/>
        <w:b w:val="1"/>
        <w:color w:val="ff0000"/>
        <w:sz w:val="24"/>
        <w:szCs w:val="24"/>
        <w:rtl w:val="0"/>
      </w:rPr>
      <w:t xml:space="preserve">XXX/202X</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Google Sans Text" w:cs="Google Sans Text" w:eastAsia="Google Sans Text" w:hAnsi="Google Sans Text"/>
        <w:u w:val="none"/>
      </w:rPr>
    </w:lvl>
    <w:lvl w:ilvl="1">
      <w:start w:val="1"/>
      <w:numFmt w:val="bullet"/>
      <w:lvlText w:val="○"/>
      <w:lvlJc w:val="left"/>
      <w:pPr>
        <w:ind w:left="1440" w:hanging="360"/>
      </w:pPr>
      <w:rPr>
        <w:rFonts w:ascii="Google Sans Text" w:cs="Google Sans Text" w:eastAsia="Google Sans Text" w:hAnsi="Google Sans Tex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spacing w:line="275.9999942779541" w:lineRule="auto"/>
      <w:jc w:val="both"/>
    </w:pPr>
    <w:rPr>
      <w:rFonts w:ascii="Calibri" w:cs="Calibri" w:eastAsia="Calibri" w:hAnsi="Calibri"/>
      <w:b w:val="1"/>
      <w:sz w:val="24"/>
      <w:szCs w:val="24"/>
    </w:rPr>
  </w:style>
  <w:style w:type="paragraph" w:styleId="Heading2">
    <w:name w:val="heading 2"/>
    <w:basedOn w:val="Normal"/>
    <w:next w:val="Normal"/>
    <w:pPr>
      <w:spacing w:after="225" w:before="225" w:line="275.9999942779541" w:lineRule="auto"/>
      <w:jc w:val="both"/>
    </w:pPr>
    <w:rPr>
      <w:rFonts w:ascii="Calibri" w:cs="Calibri" w:eastAsia="Calibri" w:hAnsi="Calibri"/>
      <w:b w:val="1"/>
      <w:sz w:val="24"/>
      <w:szCs w:val="24"/>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saomiguel.pr.gov.br" TargetMode="External"/><Relationship Id="rId2" Type="http://schemas.openxmlformats.org/officeDocument/2006/relationships/hyperlink" Target="mailto:licitacoes@saomiguel.pr.gov.br" TargetMode="External"/><Relationship Id="rId3"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