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LISTA DE VERIFICAÇÃO - MINUTAS PADRONIZADAS DO MUNICÍPIO DE SÃO MIGUEL DO IGUAÇU)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FUNDAMENTO:LEI 14133/202, art. 19, IV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Processo Administrativo Nº: _____/______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Objeto: _____________________________________________________________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Responsável pelo Preenchimento: _____________________________ Matrícula: ________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 da Verificação: ___/___/_____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dt>
      <w:sdtPr>
        <w:id w:val="492999913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B">
          <w:pPr>
            <w:spacing w:before="60" w:lineRule="auto"/>
            <w:rPr>
              <w:rFonts w:ascii="Calibri" w:cs="Calibri" w:eastAsia="Calibri" w:hAnsi="Calibri"/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48bi9i9cydm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1: ROTEIRO EXPLICATIVO – IMPLICAÇÕES DAS SELEÇÕES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Rule="auto"/>
            <w:ind w:left="360" w:firstLine="0"/>
            <w:rPr>
              <w:rFonts w:ascii="Calibri" w:cs="Calibri" w:eastAsia="Calibri" w:hAnsi="Calibri"/>
              <w:color w:val="1155cc"/>
              <w:u w:val="single"/>
            </w:rPr>
          </w:pPr>
          <w:hyperlink w:anchor="_nmsxd0ywcl80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 Propósito deste Checklist: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Rule="auto"/>
            <w:ind w:left="360" w:firstLine="0"/>
            <w:rPr>
              <w:rFonts w:ascii="Calibri" w:cs="Calibri" w:eastAsia="Calibri" w:hAnsi="Calibri"/>
              <w:color w:val="1155cc"/>
              <w:u w:val="single"/>
            </w:rPr>
          </w:pPr>
          <w:hyperlink w:anchor="_do9vycgiw5cp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 O Fluxo dos Documentos: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Rule="auto"/>
            <w:ind w:left="360" w:firstLine="0"/>
            <w:rPr>
              <w:rFonts w:ascii="Calibri" w:cs="Calibri" w:eastAsia="Calibri" w:hAnsi="Calibri"/>
              <w:color w:val="1155cc"/>
              <w:u w:val="single"/>
            </w:rPr>
          </w:pPr>
          <w:hyperlink w:anchor="_3cih7lsa4prx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 O Risco da Flexibilidade: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Rule="auto"/>
            <w:ind w:left="360" w:firstLine="0"/>
            <w:rPr>
              <w:rFonts w:ascii="Calibri" w:cs="Calibri" w:eastAsia="Calibri" w:hAnsi="Calibri"/>
              <w:color w:val="1155cc"/>
              <w:u w:val="single"/>
            </w:rPr>
          </w:pPr>
          <w:hyperlink w:anchor="_2k0vxabh4va8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4. Exemplos de Interdependências Críticas: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Rule="auto"/>
            <w:rPr>
              <w:rFonts w:ascii="Calibri" w:cs="Calibri" w:eastAsia="Calibri" w:hAnsi="Calibri"/>
              <w:color w:val="1155cc"/>
              <w:u w:val="single"/>
            </w:rPr>
          </w:pPr>
          <w:hyperlink w:anchor="_19j7qc9spmn7"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2: CHECKLIST DE VERIFICAÇÃO DE CONSISTÊNCIA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Rule="auto"/>
            <w:ind w:left="720" w:firstLine="0"/>
            <w:rPr>
              <w:rFonts w:ascii="Calibri" w:cs="Calibri" w:eastAsia="Calibri" w:hAnsi="Calibri"/>
              <w:color w:val="1155cc"/>
              <w:u w:val="single"/>
            </w:rPr>
          </w:pPr>
          <w:hyperlink w:anchor="_wu67pdggij05">
            <w:r w:rsidDel="00000000" w:rsidR="00000000" w:rsidRPr="00000000">
              <w:rPr>
                <w:rFonts w:ascii="Calibri" w:cs="Calibri" w:eastAsia="Calibri" w:hAnsi="Calibri"/>
                <w:color w:val="1155cc"/>
                <w:u w:val="single"/>
                <w:rtl w:val="0"/>
              </w:rPr>
              <w:t xml:space="preserve">DECLARAÇÃO DE RESPONSABILIDADE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pacing w:line="275.9999942779541" w:lineRule="auto"/>
        <w:rPr>
          <w:sz w:val="26"/>
          <w:szCs w:val="26"/>
        </w:rPr>
      </w:pPr>
      <w:bookmarkStart w:colFirst="0" w:colLast="0" w:name="_48bi9i9cydm" w:id="0"/>
      <w:bookmarkEnd w:id="0"/>
      <w:r w:rsidDel="00000000" w:rsidR="00000000" w:rsidRPr="00000000">
        <w:rPr>
          <w:sz w:val="26"/>
          <w:szCs w:val="26"/>
          <w:rtl w:val="0"/>
        </w:rPr>
        <w:t xml:space="preserve">1: ROTEIRO EXPLICATIVO – IMPLICAÇÕES DAS SELEÇÕES</w:t>
      </w:r>
    </w:p>
    <w:p w:rsidR="00000000" w:rsidDel="00000000" w:rsidP="00000000" w:rsidRDefault="00000000" w:rsidRPr="00000000" w14:paraId="00000014">
      <w:pPr>
        <w:pStyle w:val="Heading2"/>
        <w:spacing w:line="275.9999942779541" w:lineRule="auto"/>
        <w:rPr>
          <w:sz w:val="22"/>
          <w:szCs w:val="22"/>
        </w:rPr>
      </w:pPr>
      <w:bookmarkStart w:colFirst="0" w:colLast="0" w:name="_nmsxd0ywcl80" w:id="1"/>
      <w:bookmarkEnd w:id="1"/>
      <w:r w:rsidDel="00000000" w:rsidR="00000000" w:rsidRPr="00000000">
        <w:rPr>
          <w:sz w:val="22"/>
          <w:szCs w:val="22"/>
          <w:rtl w:val="0"/>
        </w:rPr>
        <w:t xml:space="preserve">1. Propósito deste Checklist: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Este checklist destina-se a auxiliar os agentes públicos na utilização dos modelos padronizados de documentos de contratação (ETP, TR, Edital, Contrato, Ata SRP), garantindo a consistência entre as informações e seleções feitas em cada etapa. A falta de consistência pode gerar vícios no procedimento, impugnações, atrasos, responsabilização do agente e prejuízos à Administração.</w:t>
      </w:r>
    </w:p>
    <w:p w:rsidR="00000000" w:rsidDel="00000000" w:rsidP="00000000" w:rsidRDefault="00000000" w:rsidRPr="00000000" w14:paraId="00000016">
      <w:pPr>
        <w:pStyle w:val="Heading2"/>
        <w:spacing w:line="275.9999942779541" w:lineRule="auto"/>
        <w:rPr>
          <w:sz w:val="22"/>
          <w:szCs w:val="22"/>
        </w:rPr>
      </w:pPr>
      <w:bookmarkStart w:colFirst="0" w:colLast="0" w:name="_do9vycgiw5cp" w:id="2"/>
      <w:bookmarkEnd w:id="2"/>
      <w:r w:rsidDel="00000000" w:rsidR="00000000" w:rsidRPr="00000000">
        <w:rPr>
          <w:sz w:val="22"/>
          <w:szCs w:val="22"/>
          <w:rtl w:val="0"/>
        </w:rPr>
        <w:t xml:space="preserve">2. O Fluxo dos Documentos: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Lembre-se da sequência lógica:</w:t>
      </w:r>
    </w:p>
    <w:p w:rsidR="00000000" w:rsidDel="00000000" w:rsidP="00000000" w:rsidRDefault="00000000" w:rsidRPr="00000000" w14:paraId="00000018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ETP (Estudo Técnico Preliminar):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Justifica a necessidade e define a estratégia inicial.</w:t>
      </w:r>
    </w:p>
    <w:p w:rsidR="00000000" w:rsidDel="00000000" w:rsidP="00000000" w:rsidRDefault="00000000" w:rsidRPr="00000000" w14:paraId="00000019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TR (Termo de Referência):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Detalha o objeto e TODAS as regras específicas da contratação, com base no ETP.</w:t>
      </w:r>
    </w:p>
    <w:p w:rsidR="00000000" w:rsidDel="00000000" w:rsidP="00000000" w:rsidRDefault="00000000" w:rsidRPr="00000000" w14:paraId="0000001A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Edital (ou Aviso de Contratação Direta):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Publica as regras do jogo para os fornecedores, com base no TR.</w:t>
      </w:r>
    </w:p>
    <w:p w:rsidR="00000000" w:rsidDel="00000000" w:rsidP="00000000" w:rsidRDefault="00000000" w:rsidRPr="00000000" w14:paraId="0000001B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Contrato ou Ata de Registro de Preços (ARP):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Formaliza o acordo com o vencedor, com base no Edital e TR.</w:t>
      </w:r>
    </w:p>
    <w:p w:rsidR="00000000" w:rsidDel="00000000" w:rsidP="00000000" w:rsidRDefault="00000000" w:rsidRPr="00000000" w14:paraId="0000001C">
      <w:pPr>
        <w:pStyle w:val="Heading2"/>
        <w:spacing w:line="275.9999942779541" w:lineRule="auto"/>
        <w:rPr>
          <w:sz w:val="22"/>
          <w:szCs w:val="22"/>
        </w:rPr>
      </w:pPr>
      <w:bookmarkStart w:colFirst="0" w:colLast="0" w:name="_xes1fgnbdj09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line="275.9999942779541" w:lineRule="auto"/>
        <w:rPr>
          <w:sz w:val="22"/>
          <w:szCs w:val="22"/>
        </w:rPr>
      </w:pPr>
      <w:bookmarkStart w:colFirst="0" w:colLast="0" w:name="_3cih7lsa4prx" w:id="4"/>
      <w:bookmarkEnd w:id="4"/>
      <w:r w:rsidDel="00000000" w:rsidR="00000000" w:rsidRPr="00000000">
        <w:rPr>
          <w:sz w:val="22"/>
          <w:szCs w:val="22"/>
          <w:rtl w:val="0"/>
        </w:rPr>
        <w:t xml:space="preserve">3. O Risco da Flexibilidade: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Os modelos usam caixas de seleção: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720" w:hanging="360"/>
        <w:rPr>
          <w:rFonts w:ascii="Google Sans Text" w:cs="Google Sans Text" w:eastAsia="Google Sans Text" w:hAnsi="Google Sans Text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e campos para preenchimento 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Isso permite adaptar os documentos, mas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exige atenção máxima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Uma escolha feita no TR (ex: exigir garantia) obrigatoriamente deve ser refletida no Edital e no Contrato. Uma informação preenchida (ex: prazo de vigência) deve ser a mesma em todos os documentos onde aparece.</w:t>
      </w:r>
    </w:p>
    <w:p w:rsidR="00000000" w:rsidDel="00000000" w:rsidP="00000000" w:rsidRDefault="00000000" w:rsidRPr="00000000" w14:paraId="00000025">
      <w:pPr>
        <w:pStyle w:val="Heading2"/>
        <w:spacing w:line="275.9999942779541" w:lineRule="auto"/>
        <w:rPr>
          <w:sz w:val="22"/>
          <w:szCs w:val="22"/>
        </w:rPr>
      </w:pPr>
      <w:bookmarkStart w:colFirst="0" w:colLast="0" w:name="_2k0vxabh4va8" w:id="5"/>
      <w:bookmarkEnd w:id="5"/>
      <w:r w:rsidDel="00000000" w:rsidR="00000000" w:rsidRPr="00000000">
        <w:rPr>
          <w:sz w:val="22"/>
          <w:szCs w:val="22"/>
          <w:rtl w:val="0"/>
        </w:rPr>
        <w:t xml:space="preserve">4. Exemplos de Interdependências Críticas: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4.1Sistema de Registro de Preços (SRP) vs. Contratação Padrão vs. Credenciamento:</w:t>
      </w:r>
    </w:p>
    <w:p w:rsidR="00000000" w:rsidDel="00000000" w:rsidP="00000000" w:rsidRDefault="00000000" w:rsidRPr="00000000" w14:paraId="00000027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o ETP/TR definem usar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SRP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(TR 4.A.2) :</w:t>
      </w:r>
    </w:p>
    <w:p w:rsidR="00000000" w:rsidDel="00000000" w:rsidP="00000000" w:rsidRDefault="00000000" w:rsidRPr="00000000" w14:paraId="00000028">
      <w:pPr>
        <w:numPr>
          <w:ilvl w:val="2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Edital DEVE ter as cláusulas de SRP ativadas (Cl. 3, 10, 11.</w:t>
      </w:r>
    </w:p>
    <w:p w:rsidR="00000000" w:rsidDel="00000000" w:rsidP="00000000" w:rsidRDefault="00000000" w:rsidRPr="00000000" w14:paraId="00000029">
      <w:pPr>
        <w:numPr>
          <w:ilvl w:val="2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documento final principal é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Ata de Registro de Preços (ARP)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2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 minuta de Contrato padrão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rtl w:val="0"/>
        </w:rPr>
        <w:t xml:space="preserve">não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se aplica diretamente à ARP, mas sim aos contratos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rtl w:val="0"/>
        </w:rPr>
        <w:t xml:space="preserve">derivados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dela (ou substituídos por Nota de Empenho, conforme ARP Cl. 5 ).</w:t>
      </w:r>
    </w:p>
    <w:p w:rsidR="00000000" w:rsidDel="00000000" w:rsidP="00000000" w:rsidRDefault="00000000" w:rsidRPr="00000000" w14:paraId="0000002B">
      <w:pPr>
        <w:numPr>
          <w:ilvl w:val="2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Credenciamento (TR 4.5) e Contrato Padrão (TR 4.B) não se aplicam.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o ETP/TR definem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Contratação Padrão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(sem SRP) (TR 4.A.1):</w:t>
      </w:r>
    </w:p>
    <w:p w:rsidR="00000000" w:rsidDel="00000000" w:rsidP="00000000" w:rsidRDefault="00000000" w:rsidRPr="00000000" w14:paraId="0000002E">
      <w:pPr>
        <w:numPr>
          <w:ilvl w:val="2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Edital DEVE ter as cláusulas de SRP desativadas (Cl. 3.1, 10.1) [source: 144, 333].</w:t>
      </w:r>
    </w:p>
    <w:p w:rsidR="00000000" w:rsidDel="00000000" w:rsidP="00000000" w:rsidRDefault="00000000" w:rsidRPr="00000000" w14:paraId="0000002F">
      <w:pPr>
        <w:numPr>
          <w:ilvl w:val="2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documento final é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Minuta de Contrato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(ou instrumento substituto, TR 4.B.2 ).</w:t>
      </w:r>
    </w:p>
    <w:p w:rsidR="00000000" w:rsidDel="00000000" w:rsidP="00000000" w:rsidRDefault="00000000" w:rsidRPr="00000000" w14:paraId="00000030">
      <w:pPr>
        <w:numPr>
          <w:ilvl w:val="2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ARP e Credenciamento não se aplicam.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o ETP/TR definem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Credenciamento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(TR 4.A.3)</w:t>
      </w:r>
    </w:p>
    <w:p w:rsidR="00000000" w:rsidDel="00000000" w:rsidP="00000000" w:rsidRDefault="00000000" w:rsidRPr="00000000" w14:paraId="00000033">
      <w:pPr>
        <w:numPr>
          <w:ilvl w:val="2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modelo de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Edital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fornecido ("edital em revisão v2")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NÃO É ADEQUADO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. Use um Edital específico de Chamamento Público.</w:t>
      </w:r>
    </w:p>
    <w:p w:rsidR="00000000" w:rsidDel="00000000" w:rsidP="00000000" w:rsidRDefault="00000000" w:rsidRPr="00000000" w14:paraId="00000034">
      <w:pPr>
        <w:numPr>
          <w:ilvl w:val="2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As regras do TR 4.5 (Credenciamento) [source: 940-961] devem ser aplicadas.</w:t>
      </w:r>
    </w:p>
    <w:p w:rsidR="00000000" w:rsidDel="00000000" w:rsidP="00000000" w:rsidRDefault="00000000" w:rsidRPr="00000000" w14:paraId="00000035">
      <w:pPr>
        <w:numPr>
          <w:ilvl w:val="2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SRP (TR 4.4) e Contrato Padrão (TR 4.B) não se aplicam.</w:t>
      </w:r>
    </w:p>
    <w:p w:rsidR="00000000" w:rsidDel="00000000" w:rsidP="00000000" w:rsidRDefault="00000000" w:rsidRPr="00000000" w14:paraId="00000036">
      <w:pPr>
        <w:numPr>
          <w:ilvl w:val="2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0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ARP não se aplica.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80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4.2. Garantia de Execução:</w:t>
      </w:r>
    </w:p>
    <w:p w:rsidR="00000000" w:rsidDel="00000000" w:rsidP="00000000" w:rsidRDefault="00000000" w:rsidRPr="00000000" w14:paraId="00000039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TR exige (5.7.2), Edital (Resumo, Cl. específica) e Contrato (Cl. 11.2+)DEVEM prever e detalhar.</w:t>
      </w:r>
    </w:p>
    <w:p w:rsidR="00000000" w:rsidDel="00000000" w:rsidP="00000000" w:rsidRDefault="00000000" w:rsidRPr="00000000" w14:paraId="0000003A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TR não exige (5.7.1), Edital e Contrato (Cl. 11.1) DEVEM indicar a não exigência.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4.3.Subcontratação:</w:t>
      </w:r>
    </w:p>
    <w:p w:rsidR="00000000" w:rsidDel="00000000" w:rsidP="00000000" w:rsidRDefault="00000000" w:rsidRPr="00000000" w14:paraId="0000003C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TR veda (5.6.1-4), Edital (16.2) e Contrato (4.1) DEVEM vedar.</w:t>
      </w:r>
    </w:p>
    <w:p w:rsidR="00000000" w:rsidDel="00000000" w:rsidP="00000000" w:rsidRDefault="00000000" w:rsidRPr="00000000" w14:paraId="0000003D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TR permite (5.6.5) , Edital (16.1) e Contrato (4.2+) DEVEM permitir e definir o limite (%) e as condições.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4.4.Vigência:</w:t>
      </w:r>
    </w:p>
    <w:p w:rsidR="00000000" w:rsidDel="00000000" w:rsidP="00000000" w:rsidRDefault="00000000" w:rsidRPr="00000000" w14:paraId="00000040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o objeto é contínuo (TR 2.3.2 ou 2.3.3), o Contrato (Cl. 2.2) deve prever a vigência inicial e a possibilidade de prorrogação até 10 anos.</w:t>
      </w:r>
    </w:p>
    <w:p w:rsidR="00000000" w:rsidDel="00000000" w:rsidP="00000000" w:rsidRDefault="00000000" w:rsidRPr="00000000" w14:paraId="00000041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é por escopo (TR 2.3.1) , o Contrato (Cl. 2.1) deve ter prazo determinado, sem prorrogação por continuidade.</w:t>
      </w:r>
    </w:p>
    <w:p w:rsidR="00000000" w:rsidDel="00000000" w:rsidP="00000000" w:rsidRDefault="00000000" w:rsidRPr="00000000" w14:paraId="00000042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Se for ARP (TR 4.A.2), a vigência da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rtl w:val="0"/>
        </w:rPr>
        <w:t xml:space="preserve">Ata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é definida no TR (4.4.10)e na ARP (Cl. 10) , geralmente 12 meses, prorrogáveis (com atenção à regra de restituição de quantitativo).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4.5.Habilitação:</w:t>
      </w:r>
    </w:p>
    <w:p w:rsidR="00000000" w:rsidDel="00000000" w:rsidP="00000000" w:rsidRDefault="00000000" w:rsidRPr="00000000" w14:paraId="00000045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Todos os documentos exigidos no TR (Seção 10) devem estar listados no Edital (Cl. 9). A dispensa excepcional (TR 10.13) deve estar justificada no ETP e claramente indicada no Edital.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0" w:firstLine="0"/>
        <w:rPr>
          <w:rFonts w:ascii="Google Sans Text" w:cs="Google Sans Text" w:eastAsia="Google Sans Text" w:hAnsi="Google Sans Text"/>
          <w:b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4.6Obrigações do Contratado:</w:t>
      </w:r>
    </w:p>
    <w:p w:rsidR="00000000" w:rsidDel="00000000" w:rsidP="00000000" w:rsidRDefault="00000000" w:rsidRPr="00000000" w14:paraId="00000048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O Contrato (Cl. 9) deve refletir o bloco correto (Bens ou Serviços) e as obrigações específicas conforme a natureza do serviço (Engenharia, Obras, Contínuo, DEMO) definidas no TR (Seção 14.4).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firstLine="0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Lembre-se: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Este roteiro não é exaustivo. Cada seleção e preenchimento deve ser verificado quanto à sua consistência com os demais documentos e com a legislação vigente.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⚠️Atenção!⚠️ O uso desse check-list não afasta a necessidade de utilização de outros check list específicos.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spacing w:line="275.9999942779541" w:lineRule="auto"/>
        <w:rPr>
          <w:sz w:val="26"/>
          <w:szCs w:val="26"/>
        </w:rPr>
      </w:pPr>
      <w:bookmarkStart w:colFirst="0" w:colLast="0" w:name="_19j7qc9spmn7" w:id="6"/>
      <w:bookmarkEnd w:id="6"/>
      <w:r w:rsidDel="00000000" w:rsidR="00000000" w:rsidRPr="00000000">
        <w:rPr>
          <w:sz w:val="26"/>
          <w:szCs w:val="26"/>
          <w:rtl w:val="0"/>
        </w:rPr>
        <w:t xml:space="preserve">2: CHECKLIST DE VERIFICAÇÃO DE CONSISTÊNCIA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rtl w:val="0"/>
        </w:rPr>
        <w:t xml:space="preserve">Instrução: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 Marque [X] para confirmar a verificação e consistência do item entre os documentos aplicáveis (ETP, TR, Edital, Contrato, ARP). Use N/A se o item não se aplicar à contratação.</w:t>
      </w:r>
    </w:p>
    <w:p w:rsidR="00000000" w:rsidDel="00000000" w:rsidP="00000000" w:rsidRDefault="00000000" w:rsidRPr="00000000" w14:paraId="00000050">
      <w:pPr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8325.0" w:type="dxa"/>
        <w:jc w:val="left"/>
        <w:tblLayout w:type="fixed"/>
        <w:tblLook w:val="0600"/>
      </w:tblPr>
      <w:tblGrid>
        <w:gridCol w:w="1605"/>
        <w:gridCol w:w="705"/>
        <w:gridCol w:w="900"/>
        <w:gridCol w:w="1095"/>
        <w:gridCol w:w="885"/>
        <w:gridCol w:w="765"/>
        <w:gridCol w:w="930"/>
        <w:gridCol w:w="1440"/>
        <w:tblGridChange w:id="0">
          <w:tblGrid>
            <w:gridCol w:w="1605"/>
            <w:gridCol w:w="705"/>
            <w:gridCol w:w="900"/>
            <w:gridCol w:w="1095"/>
            <w:gridCol w:w="885"/>
            <w:gridCol w:w="765"/>
            <w:gridCol w:w="930"/>
            <w:gridCol w:w="1440"/>
          </w:tblGrid>
        </w:tblGridChange>
      </w:tblGrid>
      <w:tr>
        <w:trPr>
          <w:cantSplit w:val="0"/>
          <w:trHeight w:val="315" w:hRule="atLeast"/>
          <w:tblHeader w:val="1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Item Verificado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ETP Ref.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TR Ref.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Edital Ref.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Contrato Ref.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ARP Ref.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Verificado ([X] ou N/A)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3d85c6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76" w:lineRule="auto"/>
              <w:rPr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3f3f3"/>
                <w:sz w:val="20"/>
                <w:szCs w:val="20"/>
                <w:rtl w:val="0"/>
              </w:rPr>
              <w:t xml:space="preserve">Observações / Correções Necessárias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A. OBJETO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Nº de Cláusula/Tópico no Documento</w:t>
            </w:r>
          </w:p>
        </w:tc>
        <w:tc>
          <w:tcPr>
            <w:gridSpan w:val="2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1. Descrição Completa e Detalhada (Consistente)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28"/>
              </w:numPr>
              <w:spacing w:line="276" w:lineRule="auto"/>
              <w:ind w:left="720" w:hanging="360"/>
              <w:jc w:val="center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2. Quantidades (Consistentes)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/ Anexo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numPr>
                <w:ilvl w:val="0"/>
                <w:numId w:val="37"/>
              </w:numPr>
              <w:spacing w:line="276" w:lineRule="auto"/>
              <w:ind w:left="720" w:hanging="360"/>
              <w:jc w:val="center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3. Unidade de Medida (Consistente)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Anexo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32"/>
              </w:numPr>
              <w:spacing w:line="276" w:lineRule="auto"/>
              <w:ind w:left="720" w:hanging="360"/>
              <w:jc w:val="center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4. Classificação (Comum, Especial, DEMO,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76" w:lineRule="auto"/>
              <w:rPr>
                <w:rFonts w:ascii="Roboto" w:cs="Roboto" w:eastAsia="Roboto" w:hAnsi="Roboto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 </w:t>
            </w:r>
          </w:p>
          <w:p w:rsidR="00000000" w:rsidDel="00000000" w:rsidP="00000000" w:rsidRDefault="00000000" w:rsidRPr="00000000" w14:paraId="00000083">
            <w:pPr>
              <w:spacing w:line="276" w:lineRule="auto"/>
              <w:rPr>
                <w:rFonts w:ascii="Roboto" w:cs="Roboto" w:eastAsia="Roboto" w:hAnsi="Roboto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Resumo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center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76" w:lineRule="auto"/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5. Indicação/</w:t>
            </w:r>
          </w:p>
          <w:p w:rsidR="00000000" w:rsidDel="00000000" w:rsidP="00000000" w:rsidRDefault="00000000" w:rsidRPr="00000000" w14:paraId="0000008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Vedação de Marca (Se houver)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5.2, 5.3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Edital geral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numPr>
                <w:ilvl w:val="0"/>
                <w:numId w:val="40"/>
              </w:numPr>
              <w:spacing w:line="276" w:lineRule="auto"/>
              <w:ind w:left="720" w:hanging="360"/>
              <w:jc w:val="center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B. PROCEDIMENTO E CONTRATAÇÃO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6. Modalidade de Licitação / Contratação Direta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18"/>
                <w:szCs w:val="18"/>
                <w:rtl w:val="0"/>
              </w:rPr>
              <w:t xml:space="preserve">Cabeçalho/Preâmbulo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18"/>
                <w:szCs w:val="18"/>
                <w:rtl w:val="0"/>
              </w:rPr>
              <w:t xml:space="preserve">Cabeçalho/Preâmbulo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18"/>
                <w:szCs w:val="18"/>
                <w:rtl w:val="0"/>
              </w:rPr>
              <w:t xml:space="preserve">Cabeçalho/Preâmbulo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numPr>
                <w:ilvl w:val="0"/>
                <w:numId w:val="29"/>
              </w:numPr>
              <w:spacing w:line="276" w:lineRule="auto"/>
              <w:ind w:left="720" w:hanging="360"/>
              <w:jc w:val="center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7. Critério de Julgamento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3.2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numPr>
                <w:ilvl w:val="0"/>
                <w:numId w:val="10"/>
              </w:numPr>
              <w:spacing w:line="276" w:lineRule="auto"/>
              <w:ind w:left="720" w:hanging="360"/>
              <w:jc w:val="center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 qualquer um que não seja o menor preço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8. Uso de SRP (Selecionado ou Não)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4.A, 4.4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3, 10, 11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numPr>
                <w:ilvl w:val="0"/>
                <w:numId w:val="27"/>
              </w:numPr>
              <w:spacing w:line="276" w:lineRule="auto"/>
              <w:ind w:left="720" w:hanging="360"/>
              <w:jc w:val="center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(Se SIM, ARP aplicável)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9. Uso de Credenciamento (Selecionado ou Não)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4.A, 4.5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18"/>
                <w:szCs w:val="18"/>
                <w:rtl w:val="0"/>
              </w:rPr>
              <w:t xml:space="preserve">Edital Específico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18"/>
                <w:szCs w:val="18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numPr>
                <w:ilvl w:val="0"/>
                <w:numId w:val="34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(Se SIM, usar docs específicos)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10. Uso de Contratação Padrão (Selecionado ou Não)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4.A, 4.B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Cl. SRP N/A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(Se SIM, Contrato aplicável)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11. Rito (Normal ou Invertido)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3.2.2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numPr>
                <w:ilvl w:val="0"/>
                <w:numId w:val="6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C. REQUISITOS ESPECÍFICOS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12. Exigência de Amostra (Sim/Não e Detalhes)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8.17-8.21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numPr>
                <w:ilvl w:val="0"/>
                <w:numId w:val="36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13. Subcontratação (Vedada ou Permitida c/ Limite)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numPr>
                <w:ilvl w:val="0"/>
                <w:numId w:val="7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14. Garantia de Execução (Sim/Não, %, Modalidade)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Edital (verificar)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numPr>
                <w:ilvl w:val="0"/>
                <w:numId w:val="35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15. Vigência (Prazo e Regra de Prorrogação)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10.17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(Verificar Ata vs Contrato)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16. Vistoria (Obrigatória, Facultada, Não Necessária)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8.23-8.27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numPr>
                <w:ilvl w:val="0"/>
                <w:numId w:val="26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17. Tratamento ME/EPP (Exclusivo, Cota, Ampla, Local)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5.8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4.7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ETP, TR e Edital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D. EXECUÇÃO E PAGAMENTO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18. Modelo/Regime de Execução (TR -&gt; Contrato)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Anexo I (TR)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numPr>
                <w:ilvl w:val="0"/>
                <w:numId w:val="33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19. Critérios de Medição e Pagamento (TR -&gt; Contrato)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Anexo I (TR)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numPr>
                <w:ilvl w:val="0"/>
                <w:numId w:val="38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20. Reajuste/Repactuação/Revisão (TR -&gt; Contrato)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Anexo I (TR)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2.2.5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numPr>
                <w:ilvl w:val="0"/>
                <w:numId w:val="30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21. Obrigações Contratante/Contratado (TR -&gt; Contrato)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Anexo I (TR)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8, 9, 10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numPr>
                <w:ilvl w:val="0"/>
                <w:numId w:val="5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cfe2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E. HABILITAÇÃO E SANÇÕES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22. Requisitos de Habilitação (TR -&gt; Edital)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9.1 (Obrigações)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numPr>
                <w:ilvl w:val="0"/>
                <w:numId w:val="12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Justificar no ETP</w:t>
            </w:r>
          </w:p>
          <w:p w:rsidR="00000000" w:rsidDel="00000000" w:rsidP="00000000" w:rsidRDefault="00000000" w:rsidRPr="00000000" w14:paraId="0000013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23. Sanções (Hipóteses e Tipos) (TR -&gt; Edital/Cont.)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numPr>
                <w:ilvl w:val="0"/>
                <w:numId w:val="9"/>
              </w:numPr>
              <w:spacing w:line="276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8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F. ORÇAMENTO E FINAL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24. Valor Estimado/Preço Máximo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1.1, 12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2.1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25. Dotação Orçamentária (TR -&gt; Contrato)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15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26. Foro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17.14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11.2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numPr>
                <w:ilvl w:val="0"/>
                <w:numId w:val="39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27. Preenchimento Placeholders [...]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TODOS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numPr>
                <w:ilvl w:val="0"/>
                <w:numId w:val="14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(Verificar se TODOS foram preenchidos)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28. Remoção de Opções Não Selecionadas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numPr>
                <w:ilvl w:val="0"/>
                <w:numId w:val="13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(Verificar se alternativas foram excluídas)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20"/>
                <w:szCs w:val="20"/>
                <w:rtl w:val="0"/>
              </w:rPr>
              <w:t xml:space="preserve">29. Remoção de Instruções e Fontes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numPr>
                <w:ilvl w:val="0"/>
                <w:numId w:val="11"/>
              </w:numPr>
              <w:spacing w:line="276" w:lineRule="auto"/>
              <w:ind w:left="720" w:hanging="360"/>
              <w:rPr>
                <w:rFonts w:ascii="Roboto" w:cs="Roboto" w:eastAsia="Roboto" w:hAnsi="Roboto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(Verificar se texto auxiliar em vermelho foi corrigido/preenchido ou removido)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C">
      <w:pPr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Style w:val="Heading3"/>
        <w:spacing w:line="275.9999942779541" w:lineRule="auto"/>
        <w:rPr>
          <w:b w:val="1"/>
        </w:rPr>
      </w:pPr>
      <w:bookmarkStart w:colFirst="0" w:colLast="0" w:name="_wu67pdggij05" w:id="7"/>
      <w:bookmarkEnd w:id="7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rtl w:val="0"/>
        </w:rPr>
        <w:t xml:space="preserve">DECLARAÇÃO DE RESPONSABILIDADE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 que realizei a verificação dos documentos (Estudo Técnico Preliminar, Termo de Referência, Edital, Minuta de Contrato e/ou Minuta de Ata de Registro de Preços) referentes ao Processo Administrativo nº 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_____/______,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conforme os itens deste Checklist "Uso de Minutas Padronizadas".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Declaro, ainda, estar ciente das implicações legais e administrativas decorrentes do preenchimento inconsistente ou indevido das minutas, assumindo a responsabilidade pelas informações e seleções realizadas nos documentos sob minha análise e preenchimento.</w:t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São Miguel do Iguaçu/PR, 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___ de _____________ de 20___.</w:t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(Assinatura do Responsável pelo Preenchimento)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Nome:</w:t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.9999942779541" w:lineRule="auto"/>
        <w:rPr>
          <w:rFonts w:ascii="Google Sans Text" w:cs="Google Sans Text" w:eastAsia="Google Sans Text" w:hAnsi="Google Sans Text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Matrícula: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8">
    <w:pPr>
      <w:tabs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left" w:leader="none" w:pos="0"/>
        <w:tab w:val="right" w:leader="none" w:pos="9638"/>
      </w:tabs>
      <w:jc w:val="center"/>
      <w:rPr>
        <w:rFonts w:ascii="Calibri" w:cs="Calibri" w:eastAsia="Calibri" w:hAnsi="Calibri"/>
        <w:sz w:val="21"/>
        <w:szCs w:val="21"/>
      </w:rPr>
    </w:pPr>
    <w:r w:rsidDel="00000000" w:rsidR="00000000" w:rsidRPr="00000000">
      <w:rPr>
        <w:rFonts w:ascii="Calibri" w:cs="Calibri" w:eastAsia="Calibri" w:hAnsi="Calibri"/>
        <w:sz w:val="21"/>
        <w:szCs w:val="21"/>
        <w:rtl w:val="0"/>
      </w:rPr>
      <w:t xml:space="preserve">ESTADO DO PARANÁ</w:t>
    </w:r>
    <w:r w:rsidDel="00000000" w:rsidR="00000000" w:rsidRPr="00000000">
      <w:drawing>
        <wp:anchor allowOverlap="1" behindDoc="0" distB="0" distT="0" distL="0" distR="11430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-38099</wp:posOffset>
          </wp:positionV>
          <wp:extent cx="847090" cy="650875"/>
          <wp:effectExtent b="0" l="0" r="0" t="0"/>
          <wp:wrapSquare wrapText="bothSides" distB="0" distT="0" distL="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7090" cy="6508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89">
    <w:pPr>
      <w:tabs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left" w:leader="none" w:pos="1418"/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b w:val="1"/>
        <w:sz w:val="40"/>
        <w:szCs w:val="40"/>
      </w:rPr>
    </w:pPr>
    <w:r w:rsidDel="00000000" w:rsidR="00000000" w:rsidRPr="00000000">
      <w:rPr>
        <w:rFonts w:ascii="Calibri" w:cs="Calibri" w:eastAsia="Calibri" w:hAnsi="Calibri"/>
        <w:b w:val="1"/>
        <w:sz w:val="40"/>
        <w:szCs w:val="40"/>
        <w:rtl w:val="0"/>
      </w:rPr>
      <w:t xml:space="preserve">MUNICÍPIO DE SÃO MIGUEL DO IGUAÇU</w:t>
    </w:r>
  </w:p>
  <w:p w:rsidR="00000000" w:rsidDel="00000000" w:rsidP="00000000" w:rsidRDefault="00000000" w:rsidRPr="00000000" w14:paraId="0000018A">
    <w:pPr>
      <w:jc w:val="center"/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